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4D64D" w14:textId="0FF3F144" w:rsidR="00DD16F2" w:rsidRPr="00D674DF" w:rsidRDefault="00C34DB5" w:rsidP="00B922E1">
      <w:pPr>
        <w:pStyle w:val="Heading1"/>
        <w:snapToGrid w:val="0"/>
        <w:spacing w:before="240" w:after="240" w:line="360" w:lineRule="auto"/>
        <w:rPr>
          <w:color w:val="000000" w:themeColor="text1"/>
        </w:rPr>
      </w:pPr>
      <w:r w:rsidRPr="00D674DF">
        <w:rPr>
          <w:color w:val="000000" w:themeColor="text1"/>
        </w:rPr>
        <w:t xml:space="preserve">2024 Legal Aid Conference - </w:t>
      </w:r>
      <w:r w:rsidR="001708D4" w:rsidRPr="00D674DF">
        <w:rPr>
          <w:color w:val="000000" w:themeColor="text1"/>
        </w:rPr>
        <w:t xml:space="preserve">4 December </w:t>
      </w:r>
      <w:r w:rsidRPr="00D674DF">
        <w:rPr>
          <w:color w:val="000000" w:themeColor="text1"/>
        </w:rPr>
        <w:t>2024</w:t>
      </w:r>
    </w:p>
    <w:p w14:paraId="6B0AC349" w14:textId="4DF0CF2B" w:rsidR="00DD16F2" w:rsidRPr="00D674DF" w:rsidRDefault="00DD16F2" w:rsidP="00A03A03">
      <w:pPr>
        <w:snapToGrid w:val="0"/>
        <w:spacing w:before="240" w:after="240" w:line="360" w:lineRule="auto"/>
        <w:ind w:left="720"/>
        <w:jc w:val="right"/>
        <w:rPr>
          <w:b/>
          <w:bCs/>
          <w:color w:val="000000" w:themeColor="text1"/>
        </w:rPr>
      </w:pPr>
      <w:r w:rsidRPr="00D674DF">
        <w:rPr>
          <w:b/>
          <w:bCs/>
          <w:color w:val="000000" w:themeColor="text1"/>
        </w:rPr>
        <w:t xml:space="preserve">William Calokerinos </w:t>
      </w:r>
      <w:r w:rsidR="002A4160" w:rsidRPr="00D674DF">
        <w:rPr>
          <w:b/>
          <w:bCs/>
          <w:color w:val="000000" w:themeColor="text1"/>
        </w:rPr>
        <w:t xml:space="preserve">- </w:t>
      </w:r>
      <w:r w:rsidRPr="00D674DF">
        <w:rPr>
          <w:b/>
          <w:bCs/>
          <w:color w:val="000000" w:themeColor="text1"/>
        </w:rPr>
        <w:t>Two Wentworth Chambers</w:t>
      </w:r>
    </w:p>
    <w:p w14:paraId="230AF69A" w14:textId="3BE31879" w:rsidR="00DD16F2" w:rsidRPr="00D674DF" w:rsidRDefault="00236ADA" w:rsidP="00A03A03">
      <w:pPr>
        <w:snapToGrid w:val="0"/>
        <w:spacing w:before="240" w:after="240" w:line="360" w:lineRule="auto"/>
        <w:ind w:left="720"/>
        <w:jc w:val="right"/>
        <w:rPr>
          <w:b/>
          <w:bCs/>
          <w:color w:val="000000" w:themeColor="text1"/>
        </w:rPr>
      </w:pPr>
      <w:r w:rsidRPr="00D674DF">
        <w:rPr>
          <w:b/>
          <w:bCs/>
          <w:color w:val="000000" w:themeColor="text1"/>
        </w:rPr>
        <w:t xml:space="preserve">Rajiv Baldeo </w:t>
      </w:r>
      <w:r w:rsidR="002A4160" w:rsidRPr="00D674DF">
        <w:rPr>
          <w:b/>
          <w:bCs/>
          <w:color w:val="000000" w:themeColor="text1"/>
        </w:rPr>
        <w:t>-</w:t>
      </w:r>
      <w:r w:rsidRPr="00D674DF">
        <w:rPr>
          <w:b/>
          <w:bCs/>
          <w:color w:val="000000" w:themeColor="text1"/>
        </w:rPr>
        <w:t xml:space="preserve"> 7 Garfield Barwick Chambers </w:t>
      </w:r>
    </w:p>
    <w:p w14:paraId="74955108" w14:textId="53144E17" w:rsidR="00C34DB5" w:rsidRPr="00D674DF" w:rsidRDefault="0048186B" w:rsidP="0048186B">
      <w:pPr>
        <w:snapToGrid w:val="0"/>
        <w:spacing w:before="240" w:after="240" w:line="360" w:lineRule="auto"/>
        <w:ind w:left="4320" w:firstLine="720"/>
        <w:rPr>
          <w:rFonts w:ascii="Arial" w:hAnsi="Arial" w:cs="Arial"/>
          <w:b/>
          <w:bCs/>
          <w:color w:val="000000" w:themeColor="text1"/>
        </w:rPr>
      </w:pPr>
      <w:r w:rsidRPr="00D674DF">
        <w:rPr>
          <w:b/>
          <w:bCs/>
          <w:color w:val="000000" w:themeColor="text1"/>
        </w:rPr>
        <w:t>Siobhan Clarke—Chalfont Chambers.</w:t>
      </w:r>
    </w:p>
    <w:p w14:paraId="4923A22B" w14:textId="767480C3" w:rsidR="00FA409B" w:rsidRPr="00D674DF" w:rsidRDefault="00C34DB5" w:rsidP="00B922E1">
      <w:pPr>
        <w:pStyle w:val="Heading2"/>
        <w:snapToGrid w:val="0"/>
        <w:spacing w:before="240" w:after="240" w:line="360" w:lineRule="auto"/>
        <w:rPr>
          <w:color w:val="000000" w:themeColor="text1"/>
        </w:rPr>
      </w:pPr>
      <w:r w:rsidRPr="00D674DF">
        <w:rPr>
          <w:color w:val="000000" w:themeColor="text1"/>
        </w:rPr>
        <w:t>Introduction</w:t>
      </w:r>
    </w:p>
    <w:p w14:paraId="0114C404" w14:textId="7C1E89B1" w:rsidR="00FD3ECA" w:rsidRPr="00D674DF" w:rsidRDefault="00C34DB5"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 xml:space="preserve">This paper gratefully adopts the commentary </w:t>
      </w:r>
      <w:r w:rsidR="004566B2" w:rsidRPr="00D674DF">
        <w:rPr>
          <w:rFonts w:ascii="Arial" w:hAnsi="Arial" w:cs="Arial"/>
          <w:color w:val="000000" w:themeColor="text1"/>
        </w:rPr>
        <w:t>and analysis</w:t>
      </w:r>
      <w:r w:rsidR="00E374FF" w:rsidRPr="00D674DF">
        <w:rPr>
          <w:rFonts w:ascii="Arial" w:hAnsi="Arial" w:cs="Arial"/>
          <w:color w:val="000000" w:themeColor="text1"/>
        </w:rPr>
        <w:t xml:space="preserve"> of</w:t>
      </w:r>
      <w:r w:rsidR="00FD3ECA" w:rsidRPr="00D674DF">
        <w:rPr>
          <w:rFonts w:ascii="Arial" w:hAnsi="Arial" w:cs="Arial"/>
          <w:color w:val="000000" w:themeColor="text1"/>
        </w:rPr>
        <w:t>:</w:t>
      </w:r>
    </w:p>
    <w:p w14:paraId="78745DDB" w14:textId="06D34EB2" w:rsidR="00FD3ECA" w:rsidRPr="00D674DF" w:rsidRDefault="00A3202B" w:rsidP="00A03A03">
      <w:pPr>
        <w:pStyle w:val="ListParagraph"/>
        <w:numPr>
          <w:ilvl w:val="1"/>
          <w:numId w:val="1"/>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T</w:t>
      </w:r>
      <w:r w:rsidR="00C34DB5" w:rsidRPr="00D674DF">
        <w:rPr>
          <w:rFonts w:ascii="Arial" w:hAnsi="Arial" w:cs="Arial"/>
          <w:color w:val="000000" w:themeColor="text1"/>
        </w:rPr>
        <w:t xml:space="preserve">he paper written by Ms Sophie Anderson and Mr Ben Cochrane dated </w:t>
      </w:r>
      <w:r w:rsidR="00C34DB5" w:rsidRPr="00D674DF">
        <w:rPr>
          <w:rFonts w:ascii="Arial" w:hAnsi="Arial" w:cs="Arial"/>
          <w:b/>
          <w:bCs/>
          <w:color w:val="000000" w:themeColor="text1"/>
        </w:rPr>
        <w:t>June 2022</w:t>
      </w:r>
      <w:r w:rsidR="00C34DB5" w:rsidRPr="00D674DF">
        <w:rPr>
          <w:rFonts w:ascii="Arial" w:hAnsi="Arial" w:cs="Arial"/>
          <w:color w:val="000000" w:themeColor="text1"/>
        </w:rPr>
        <w:t xml:space="preserve">, </w:t>
      </w:r>
      <w:r w:rsidR="00C34DB5" w:rsidRPr="00D674DF">
        <w:rPr>
          <w:rFonts w:ascii="Arial" w:hAnsi="Arial" w:cs="Arial"/>
          <w:b/>
          <w:bCs/>
          <w:color w:val="000000" w:themeColor="text1"/>
        </w:rPr>
        <w:t>annexed</w:t>
      </w:r>
      <w:r w:rsidR="00C34DB5" w:rsidRPr="00D674DF">
        <w:rPr>
          <w:rFonts w:ascii="Arial" w:hAnsi="Arial" w:cs="Arial"/>
          <w:color w:val="000000" w:themeColor="text1"/>
        </w:rPr>
        <w:t xml:space="preserve"> to this paper by way of </w:t>
      </w:r>
      <w:r w:rsidR="00C34DB5" w:rsidRPr="00D674DF">
        <w:rPr>
          <w:rFonts w:ascii="Arial" w:hAnsi="Arial" w:cs="Arial"/>
          <w:b/>
          <w:bCs/>
          <w:color w:val="000000" w:themeColor="text1"/>
        </w:rPr>
        <w:t>annexure</w:t>
      </w:r>
      <w:r w:rsidR="00FD3ECA" w:rsidRPr="00D674DF">
        <w:rPr>
          <w:rFonts w:ascii="Arial" w:hAnsi="Arial" w:cs="Arial"/>
          <w:b/>
          <w:bCs/>
          <w:color w:val="000000" w:themeColor="text1"/>
        </w:rPr>
        <w:t xml:space="preserve"> 1</w:t>
      </w:r>
      <w:r w:rsidR="00C34DB5" w:rsidRPr="00D674DF">
        <w:rPr>
          <w:rFonts w:ascii="Arial" w:hAnsi="Arial" w:cs="Arial"/>
          <w:color w:val="000000" w:themeColor="text1"/>
        </w:rPr>
        <w:t>.</w:t>
      </w:r>
    </w:p>
    <w:p w14:paraId="7865D248" w14:textId="4E3A602F" w:rsidR="00BD0069" w:rsidRPr="00D674DF" w:rsidRDefault="00A3202B" w:rsidP="00A03A03">
      <w:pPr>
        <w:pStyle w:val="ListParagraph"/>
        <w:numPr>
          <w:ilvl w:val="1"/>
          <w:numId w:val="1"/>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T</w:t>
      </w:r>
      <w:r w:rsidR="00FD3ECA" w:rsidRPr="00D674DF">
        <w:rPr>
          <w:rFonts w:ascii="Arial" w:hAnsi="Arial" w:cs="Arial"/>
          <w:color w:val="000000" w:themeColor="text1"/>
        </w:rPr>
        <w:t>he checklist written by Legal Aid NSW</w:t>
      </w:r>
      <w:r w:rsidR="00BD0069" w:rsidRPr="00D674DF">
        <w:rPr>
          <w:rFonts w:ascii="Arial" w:hAnsi="Arial" w:cs="Arial"/>
          <w:color w:val="000000" w:themeColor="text1"/>
        </w:rPr>
        <w:t xml:space="preserve">, </w:t>
      </w:r>
      <w:r w:rsidR="00BD0069" w:rsidRPr="00D674DF">
        <w:rPr>
          <w:rFonts w:ascii="Arial" w:hAnsi="Arial" w:cs="Arial"/>
          <w:b/>
          <w:bCs/>
          <w:color w:val="000000" w:themeColor="text1"/>
        </w:rPr>
        <w:t>annexed</w:t>
      </w:r>
      <w:r w:rsidR="00BD0069" w:rsidRPr="00D674DF">
        <w:rPr>
          <w:rFonts w:ascii="Arial" w:hAnsi="Arial" w:cs="Arial"/>
          <w:color w:val="000000" w:themeColor="text1"/>
        </w:rPr>
        <w:t xml:space="preserve"> to this paper by way of </w:t>
      </w:r>
      <w:r w:rsidR="00BD0069" w:rsidRPr="00D674DF">
        <w:rPr>
          <w:rFonts w:ascii="Arial" w:hAnsi="Arial" w:cs="Arial"/>
          <w:b/>
          <w:bCs/>
          <w:color w:val="000000" w:themeColor="text1"/>
        </w:rPr>
        <w:t>annexure 2</w:t>
      </w:r>
      <w:r w:rsidR="00BD0069" w:rsidRPr="00D674DF">
        <w:rPr>
          <w:rFonts w:ascii="Arial" w:hAnsi="Arial" w:cs="Arial"/>
          <w:color w:val="000000" w:themeColor="text1"/>
        </w:rPr>
        <w:t>.</w:t>
      </w:r>
    </w:p>
    <w:p w14:paraId="02B7EB48" w14:textId="1DA11A3E" w:rsidR="00E179C8" w:rsidRPr="00D674DF" w:rsidRDefault="00642138" w:rsidP="00A03A03">
      <w:pPr>
        <w:pStyle w:val="ListParagraph"/>
        <w:numPr>
          <w:ilvl w:val="1"/>
          <w:numId w:val="1"/>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 xml:space="preserve">A list of cases decided </w:t>
      </w:r>
      <w:r w:rsidR="00F12351" w:rsidRPr="00D674DF">
        <w:rPr>
          <w:rFonts w:ascii="Arial" w:hAnsi="Arial" w:cs="Arial"/>
          <w:color w:val="000000" w:themeColor="text1"/>
        </w:rPr>
        <w:t>following</w:t>
      </w:r>
      <w:r w:rsidRPr="00D674DF">
        <w:rPr>
          <w:rFonts w:ascii="Arial" w:hAnsi="Arial" w:cs="Arial"/>
          <w:color w:val="000000" w:themeColor="text1"/>
        </w:rPr>
        <w:t xml:space="preserve"> </w:t>
      </w:r>
      <w:r w:rsidRPr="00D674DF">
        <w:rPr>
          <w:rFonts w:ascii="Arial" w:hAnsi="Arial" w:cs="Arial"/>
          <w:b/>
          <w:bCs/>
          <w:i/>
          <w:iCs/>
          <w:color w:val="000000" w:themeColor="text1"/>
        </w:rPr>
        <w:t>Rodden</w:t>
      </w:r>
      <w:r w:rsidRPr="00D674DF">
        <w:rPr>
          <w:rFonts w:ascii="Arial" w:hAnsi="Arial" w:cs="Arial"/>
          <w:color w:val="000000" w:themeColor="text1"/>
        </w:rPr>
        <w:t>,</w:t>
      </w:r>
      <w:r w:rsidR="005761B8" w:rsidRPr="00D674DF">
        <w:rPr>
          <w:rFonts w:ascii="Arial" w:hAnsi="Arial" w:cs="Arial"/>
          <w:color w:val="000000" w:themeColor="text1"/>
        </w:rPr>
        <w:t xml:space="preserve"> citing that authority</w:t>
      </w:r>
      <w:r w:rsidRPr="00D674DF">
        <w:rPr>
          <w:rFonts w:ascii="Arial" w:hAnsi="Arial" w:cs="Arial"/>
          <w:color w:val="000000" w:themeColor="text1"/>
        </w:rPr>
        <w:t xml:space="preserve"> </w:t>
      </w:r>
      <w:r w:rsidRPr="00D674DF">
        <w:rPr>
          <w:rFonts w:ascii="Arial" w:hAnsi="Arial" w:cs="Arial"/>
          <w:b/>
          <w:bCs/>
          <w:color w:val="000000" w:themeColor="text1"/>
        </w:rPr>
        <w:t>annexed</w:t>
      </w:r>
      <w:r w:rsidRPr="00D674DF">
        <w:rPr>
          <w:rFonts w:ascii="Arial" w:hAnsi="Arial" w:cs="Arial"/>
          <w:color w:val="000000" w:themeColor="text1"/>
        </w:rPr>
        <w:t xml:space="preserve"> to this paper by way of </w:t>
      </w:r>
      <w:r w:rsidRPr="00D674DF">
        <w:rPr>
          <w:rFonts w:ascii="Arial" w:hAnsi="Arial" w:cs="Arial"/>
          <w:b/>
          <w:bCs/>
          <w:color w:val="000000" w:themeColor="text1"/>
        </w:rPr>
        <w:t>annexure 3</w:t>
      </w:r>
      <w:r w:rsidRPr="00D674DF">
        <w:rPr>
          <w:rFonts w:ascii="Arial" w:hAnsi="Arial" w:cs="Arial"/>
          <w:color w:val="000000" w:themeColor="text1"/>
        </w:rPr>
        <w:t>.</w:t>
      </w:r>
    </w:p>
    <w:p w14:paraId="435F357E" w14:textId="5B4AD190" w:rsidR="005F46EF" w:rsidRPr="00D674DF" w:rsidRDefault="00807ED9" w:rsidP="00FC0330">
      <w:pPr>
        <w:snapToGrid w:val="0"/>
        <w:spacing w:before="240" w:after="240" w:line="360" w:lineRule="auto"/>
        <w:ind w:firstLine="567"/>
        <w:rPr>
          <w:rFonts w:ascii="Arial" w:hAnsi="Arial" w:cs="Arial"/>
          <w:color w:val="000000" w:themeColor="text1"/>
        </w:rPr>
      </w:pPr>
      <w:r w:rsidRPr="00D674DF">
        <w:rPr>
          <w:rFonts w:ascii="Arial" w:hAnsi="Arial" w:cs="Arial"/>
          <w:color w:val="000000" w:themeColor="text1"/>
        </w:rPr>
        <w:t xml:space="preserve">Please read and consider the </w:t>
      </w:r>
      <w:r w:rsidR="00BD0069" w:rsidRPr="00D674DF">
        <w:rPr>
          <w:rFonts w:ascii="Arial" w:hAnsi="Arial" w:cs="Arial"/>
          <w:color w:val="000000" w:themeColor="text1"/>
        </w:rPr>
        <w:t xml:space="preserve">two </w:t>
      </w:r>
      <w:r w:rsidRPr="00D674DF">
        <w:rPr>
          <w:rFonts w:ascii="Arial" w:hAnsi="Arial" w:cs="Arial"/>
          <w:color w:val="000000" w:themeColor="text1"/>
        </w:rPr>
        <w:t>annexure</w:t>
      </w:r>
      <w:r w:rsidR="00BD0069" w:rsidRPr="00D674DF">
        <w:rPr>
          <w:rFonts w:ascii="Arial" w:hAnsi="Arial" w:cs="Arial"/>
          <w:color w:val="000000" w:themeColor="text1"/>
        </w:rPr>
        <w:t>s</w:t>
      </w:r>
      <w:r w:rsidRPr="00D674DF">
        <w:rPr>
          <w:rFonts w:ascii="Arial" w:hAnsi="Arial" w:cs="Arial"/>
          <w:color w:val="000000" w:themeColor="text1"/>
        </w:rPr>
        <w:t xml:space="preserve"> before reading the below.</w:t>
      </w:r>
    </w:p>
    <w:p w14:paraId="6BE9CCCF" w14:textId="29183798" w:rsidR="00293C3F" w:rsidRPr="00D674DF" w:rsidRDefault="005F46EF"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 xml:space="preserve">This is a </w:t>
      </w:r>
      <w:r w:rsidRPr="00D674DF">
        <w:rPr>
          <w:rFonts w:ascii="Arial" w:hAnsi="Arial" w:cs="Arial"/>
          <w:color w:val="000000" w:themeColor="text1"/>
          <w:u w:val="single"/>
        </w:rPr>
        <w:t>supplementary paper</w:t>
      </w:r>
      <w:r w:rsidRPr="00D674DF">
        <w:rPr>
          <w:rFonts w:ascii="Arial" w:hAnsi="Arial" w:cs="Arial"/>
          <w:color w:val="000000" w:themeColor="text1"/>
        </w:rPr>
        <w:t xml:space="preserve"> </w:t>
      </w:r>
      <w:r w:rsidR="00080904" w:rsidRPr="00D674DF">
        <w:rPr>
          <w:rFonts w:ascii="Arial" w:hAnsi="Arial" w:cs="Arial"/>
          <w:color w:val="000000" w:themeColor="text1"/>
        </w:rPr>
        <w:t>which aims</w:t>
      </w:r>
      <w:r w:rsidR="00626CC6" w:rsidRPr="00D674DF">
        <w:rPr>
          <w:rFonts w:ascii="Arial" w:hAnsi="Arial" w:cs="Arial"/>
          <w:color w:val="000000" w:themeColor="text1"/>
        </w:rPr>
        <w:t xml:space="preserve"> to</w:t>
      </w:r>
      <w:r w:rsidR="00293C3F" w:rsidRPr="00D674DF">
        <w:rPr>
          <w:rFonts w:ascii="Arial" w:hAnsi="Arial" w:cs="Arial"/>
          <w:color w:val="000000" w:themeColor="text1"/>
        </w:rPr>
        <w:t>:</w:t>
      </w:r>
    </w:p>
    <w:p w14:paraId="0D025E5F" w14:textId="6B781E66" w:rsidR="00293C3F" w:rsidRPr="00D674DF" w:rsidRDefault="00293C3F" w:rsidP="00A03A03">
      <w:pPr>
        <w:pStyle w:val="ListParagraph"/>
        <w:numPr>
          <w:ilvl w:val="1"/>
          <w:numId w:val="1"/>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 xml:space="preserve">Provide guidance for the application of the </w:t>
      </w:r>
      <w:r w:rsidRPr="00D674DF">
        <w:rPr>
          <w:rFonts w:ascii="Arial" w:hAnsi="Arial" w:cs="Arial"/>
          <w:i/>
          <w:iCs/>
          <w:color w:val="000000" w:themeColor="text1"/>
        </w:rPr>
        <w:t>Costs in Criminal Cases Act</w:t>
      </w:r>
      <w:r w:rsidRPr="00D674DF">
        <w:rPr>
          <w:rFonts w:ascii="Arial" w:hAnsi="Arial" w:cs="Arial"/>
          <w:color w:val="000000" w:themeColor="text1"/>
        </w:rPr>
        <w:t xml:space="preserve"> 1967 (NSW) (</w:t>
      </w:r>
      <w:r w:rsidRPr="00D674DF">
        <w:rPr>
          <w:rFonts w:ascii="Arial" w:hAnsi="Arial" w:cs="Arial"/>
          <w:b/>
          <w:bCs/>
          <w:color w:val="000000" w:themeColor="text1"/>
        </w:rPr>
        <w:t xml:space="preserve">the </w:t>
      </w:r>
      <w:r w:rsidRPr="00D674DF">
        <w:rPr>
          <w:rFonts w:ascii="Arial" w:hAnsi="Arial" w:cs="Arial"/>
          <w:b/>
          <w:bCs/>
          <w:i/>
          <w:iCs/>
          <w:color w:val="000000" w:themeColor="text1"/>
        </w:rPr>
        <w:t>Act</w:t>
      </w:r>
      <w:r w:rsidRPr="00D674DF">
        <w:rPr>
          <w:rFonts w:ascii="Arial" w:hAnsi="Arial" w:cs="Arial"/>
          <w:color w:val="000000" w:themeColor="text1"/>
        </w:rPr>
        <w:t>)</w:t>
      </w:r>
    </w:p>
    <w:p w14:paraId="51846F65" w14:textId="7A332031" w:rsidR="00260859" w:rsidRPr="00D674DF" w:rsidRDefault="00293C3F" w:rsidP="00A03A03">
      <w:pPr>
        <w:pStyle w:val="ListParagraph"/>
        <w:numPr>
          <w:ilvl w:val="1"/>
          <w:numId w:val="1"/>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 xml:space="preserve">Provide guidance of the application of costs </w:t>
      </w:r>
      <w:r w:rsidR="00626CC6" w:rsidRPr="00D674DF">
        <w:rPr>
          <w:rFonts w:ascii="Arial" w:hAnsi="Arial" w:cs="Arial"/>
          <w:color w:val="000000" w:themeColor="text1"/>
        </w:rPr>
        <w:t xml:space="preserve">after the </w:t>
      </w:r>
      <w:r w:rsidR="00CE7921" w:rsidRPr="00D674DF">
        <w:rPr>
          <w:rFonts w:ascii="Arial" w:hAnsi="Arial" w:cs="Arial"/>
          <w:color w:val="000000" w:themeColor="text1"/>
        </w:rPr>
        <w:t xml:space="preserve">18 August 2023 </w:t>
      </w:r>
      <w:r w:rsidR="00626CC6" w:rsidRPr="00D674DF">
        <w:rPr>
          <w:rFonts w:ascii="Arial" w:hAnsi="Arial" w:cs="Arial"/>
          <w:color w:val="000000" w:themeColor="text1"/>
        </w:rPr>
        <w:t xml:space="preserve">decision of </w:t>
      </w:r>
      <w:r w:rsidR="00460F36" w:rsidRPr="00D674DF">
        <w:rPr>
          <w:rFonts w:ascii="Arial" w:hAnsi="Arial" w:cs="Arial"/>
          <w:i/>
          <w:iCs/>
          <w:color w:val="000000" w:themeColor="text1"/>
        </w:rPr>
        <w:t xml:space="preserve">Rodden v R </w:t>
      </w:r>
      <w:r w:rsidR="00460F36" w:rsidRPr="00D674DF">
        <w:rPr>
          <w:rFonts w:ascii="Arial" w:hAnsi="Arial" w:cs="Arial"/>
          <w:color w:val="000000" w:themeColor="text1"/>
        </w:rPr>
        <w:t>[2023] NSWCCA 202</w:t>
      </w:r>
      <w:r w:rsidR="00A007AD" w:rsidRPr="00D674DF">
        <w:rPr>
          <w:rFonts w:ascii="Arial" w:hAnsi="Arial" w:cs="Arial"/>
          <w:color w:val="000000" w:themeColor="text1"/>
        </w:rPr>
        <w:t xml:space="preserve"> (“</w:t>
      </w:r>
      <w:r w:rsidR="00A007AD" w:rsidRPr="00D674DF">
        <w:rPr>
          <w:rFonts w:ascii="Arial" w:hAnsi="Arial" w:cs="Arial"/>
          <w:b/>
          <w:bCs/>
          <w:i/>
          <w:iCs/>
          <w:color w:val="000000" w:themeColor="text1"/>
        </w:rPr>
        <w:t>Rodden</w:t>
      </w:r>
      <w:r w:rsidR="00A007AD" w:rsidRPr="00D674DF">
        <w:rPr>
          <w:rFonts w:ascii="Arial" w:hAnsi="Arial" w:cs="Arial"/>
          <w:color w:val="000000" w:themeColor="text1"/>
        </w:rPr>
        <w:t>”)</w:t>
      </w:r>
      <w:r w:rsidR="00460F36" w:rsidRPr="00D674DF">
        <w:rPr>
          <w:rFonts w:ascii="Arial" w:hAnsi="Arial" w:cs="Arial"/>
          <w:color w:val="000000" w:themeColor="text1"/>
        </w:rPr>
        <w:t>.</w:t>
      </w:r>
      <w:r w:rsidR="00460F36" w:rsidRPr="00D674DF">
        <w:rPr>
          <w:rStyle w:val="FootnoteReference"/>
          <w:rFonts w:ascii="Arial" w:hAnsi="Arial" w:cs="Arial"/>
          <w:color w:val="000000" w:themeColor="text1"/>
        </w:rPr>
        <w:footnoteReference w:id="1"/>
      </w:r>
      <w:r w:rsidR="008D149F" w:rsidRPr="00D674DF">
        <w:rPr>
          <w:rFonts w:ascii="Arial" w:hAnsi="Arial" w:cs="Arial"/>
          <w:color w:val="000000" w:themeColor="text1"/>
        </w:rPr>
        <w:t xml:space="preserve">  </w:t>
      </w:r>
      <w:r w:rsidR="0004454F" w:rsidRPr="00D674DF">
        <w:rPr>
          <w:rFonts w:ascii="Arial" w:hAnsi="Arial" w:cs="Arial"/>
          <w:color w:val="000000" w:themeColor="text1"/>
        </w:rPr>
        <w:t xml:space="preserve">Specifically, this paper provides further analysis </w:t>
      </w:r>
      <w:r w:rsidR="00D13221" w:rsidRPr="00D674DF">
        <w:rPr>
          <w:rFonts w:ascii="Arial" w:hAnsi="Arial" w:cs="Arial"/>
          <w:color w:val="000000" w:themeColor="text1"/>
        </w:rPr>
        <w:t xml:space="preserve">for </w:t>
      </w:r>
      <w:r w:rsidR="0004454F" w:rsidRPr="00D674DF">
        <w:rPr>
          <w:rFonts w:ascii="Arial" w:hAnsi="Arial" w:cs="Arial"/>
          <w:color w:val="000000" w:themeColor="text1"/>
        </w:rPr>
        <w:t xml:space="preserve">paragraphs [42] to [44] - </w:t>
      </w:r>
      <w:r w:rsidR="0004454F" w:rsidRPr="00D674DF">
        <w:rPr>
          <w:rFonts w:ascii="Arial" w:hAnsi="Arial" w:cs="Arial"/>
          <w:i/>
          <w:iCs/>
          <w:color w:val="000000" w:themeColor="text1"/>
        </w:rPr>
        <w:t xml:space="preserve">What </w:t>
      </w:r>
      <w:r w:rsidR="00D13221" w:rsidRPr="00D674DF">
        <w:rPr>
          <w:rFonts w:ascii="Arial" w:hAnsi="Arial" w:cs="Arial"/>
          <w:i/>
          <w:iCs/>
          <w:color w:val="000000" w:themeColor="text1"/>
        </w:rPr>
        <w:t>costs are</w:t>
      </w:r>
      <w:r w:rsidR="0004454F" w:rsidRPr="00D674DF">
        <w:rPr>
          <w:rFonts w:ascii="Arial" w:hAnsi="Arial" w:cs="Arial"/>
          <w:i/>
          <w:iCs/>
          <w:color w:val="000000" w:themeColor="text1"/>
        </w:rPr>
        <w:t xml:space="preserve"> Just and Reasonable?</w:t>
      </w:r>
    </w:p>
    <w:p w14:paraId="14471E10" w14:textId="2976C5F6" w:rsidR="00BF3A0A" w:rsidRPr="00D674DF" w:rsidRDefault="005C41C1"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 xml:space="preserve">The Department of Communities and Justice had outlined </w:t>
      </w:r>
      <w:r w:rsidRPr="00D674DF">
        <w:rPr>
          <w:rFonts w:ascii="Arial" w:hAnsi="Arial" w:cs="Arial"/>
          <w:i/>
          <w:iCs/>
          <w:color w:val="000000" w:themeColor="text1"/>
        </w:rPr>
        <w:t>before</w:t>
      </w:r>
      <w:r w:rsidRPr="00D674DF">
        <w:rPr>
          <w:rFonts w:ascii="Arial" w:hAnsi="Arial" w:cs="Arial"/>
          <w:color w:val="000000" w:themeColor="text1"/>
        </w:rPr>
        <w:t xml:space="preserve"> the appeal of the </w:t>
      </w:r>
      <w:r w:rsidRPr="00D674DF">
        <w:rPr>
          <w:rFonts w:ascii="Arial" w:hAnsi="Arial" w:cs="Arial"/>
          <w:i/>
          <w:iCs/>
          <w:color w:val="000000" w:themeColor="text1"/>
        </w:rPr>
        <w:t>Rodden</w:t>
      </w:r>
      <w:r w:rsidRPr="00D674DF">
        <w:rPr>
          <w:rFonts w:ascii="Arial" w:hAnsi="Arial" w:cs="Arial"/>
          <w:color w:val="000000" w:themeColor="text1"/>
        </w:rPr>
        <w:t xml:space="preserve"> decision that a practical effect of it was that “</w:t>
      </w:r>
      <w:r w:rsidRPr="00D674DF">
        <w:rPr>
          <w:rFonts w:ascii="Arial" w:hAnsi="Arial" w:cs="Arial"/>
          <w:i/>
          <w:iCs/>
          <w:color w:val="000000" w:themeColor="text1"/>
        </w:rPr>
        <w:t xml:space="preserve">all Legal Aid NSW applications </w:t>
      </w:r>
      <w:r w:rsidRPr="00D674DF">
        <w:rPr>
          <w:rFonts w:ascii="Arial" w:hAnsi="Arial" w:cs="Arial"/>
          <w:i/>
          <w:iCs/>
          <w:color w:val="000000" w:themeColor="text1"/>
        </w:rPr>
        <w:lastRenderedPageBreak/>
        <w:t>under the Costs in Criminal Cases Act 1967 (NSW)</w:t>
      </w:r>
      <w:r w:rsidRPr="00D674DF">
        <w:rPr>
          <w:rFonts w:ascii="Arial" w:hAnsi="Arial" w:cs="Arial"/>
          <w:color w:val="000000" w:themeColor="text1"/>
        </w:rPr>
        <w:t>” had been “</w:t>
      </w:r>
      <w:r w:rsidRPr="00D674DF">
        <w:rPr>
          <w:rFonts w:ascii="Arial" w:hAnsi="Arial" w:cs="Arial"/>
          <w:i/>
          <w:iCs/>
          <w:color w:val="000000" w:themeColor="text1"/>
        </w:rPr>
        <w:t>deferred pending the outcome of the appeal</w:t>
      </w:r>
      <w:r w:rsidRPr="00D674DF">
        <w:rPr>
          <w:rFonts w:ascii="Arial" w:hAnsi="Arial" w:cs="Arial"/>
          <w:color w:val="000000" w:themeColor="text1"/>
        </w:rPr>
        <w:t xml:space="preserve">”.  </w:t>
      </w:r>
    </w:p>
    <w:p w14:paraId="1C303D6F" w14:textId="403648F4" w:rsidR="00FA409B" w:rsidRPr="00D674DF" w:rsidRDefault="0080656D"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It is understood that, f</w:t>
      </w:r>
      <w:r w:rsidR="002F0F43" w:rsidRPr="00D674DF">
        <w:rPr>
          <w:rFonts w:ascii="Arial" w:hAnsi="Arial" w:cs="Arial"/>
          <w:color w:val="000000" w:themeColor="text1"/>
        </w:rPr>
        <w:t xml:space="preserve">ollowing the decision of the CCA in Rodden, </w:t>
      </w:r>
      <w:r w:rsidR="00DB21E6" w:rsidRPr="00D674DF">
        <w:rPr>
          <w:rFonts w:ascii="Arial" w:hAnsi="Arial" w:cs="Arial"/>
          <w:color w:val="000000" w:themeColor="text1"/>
        </w:rPr>
        <w:t xml:space="preserve">consideration of Legal Aid NSW applications under the Act have </w:t>
      </w:r>
      <w:r w:rsidR="00DB21E6" w:rsidRPr="00D674DF">
        <w:rPr>
          <w:rFonts w:ascii="Arial" w:hAnsi="Arial" w:cs="Arial"/>
          <w:b/>
          <w:bCs/>
          <w:color w:val="000000" w:themeColor="text1"/>
        </w:rPr>
        <w:t>resumed</w:t>
      </w:r>
      <w:r w:rsidR="00DB21E6" w:rsidRPr="00D674DF">
        <w:rPr>
          <w:rFonts w:ascii="Arial" w:hAnsi="Arial" w:cs="Arial"/>
          <w:color w:val="000000" w:themeColor="text1"/>
        </w:rPr>
        <w:t xml:space="preserve"> by the Department of Communities and Justice. </w:t>
      </w:r>
    </w:p>
    <w:p w14:paraId="73FE0F36" w14:textId="0A977F1F" w:rsidR="00FA409B" w:rsidRPr="00D674DF" w:rsidRDefault="00260859" w:rsidP="00A03A03">
      <w:pPr>
        <w:pStyle w:val="Heading2"/>
        <w:snapToGrid w:val="0"/>
        <w:spacing w:before="240" w:after="240" w:line="360" w:lineRule="auto"/>
        <w:rPr>
          <w:color w:val="000000" w:themeColor="text1"/>
        </w:rPr>
      </w:pPr>
      <w:r w:rsidRPr="00D674DF">
        <w:rPr>
          <w:i/>
          <w:iCs/>
          <w:color w:val="000000" w:themeColor="text1"/>
        </w:rPr>
        <w:t>Rodden</w:t>
      </w:r>
      <w:r w:rsidR="00E6650B" w:rsidRPr="00D674DF">
        <w:rPr>
          <w:color w:val="000000" w:themeColor="text1"/>
        </w:rPr>
        <w:t xml:space="preserve"> </w:t>
      </w:r>
      <w:r w:rsidR="003F2F7D" w:rsidRPr="00D674DF">
        <w:rPr>
          <w:color w:val="000000" w:themeColor="text1"/>
        </w:rPr>
        <w:t xml:space="preserve">- Court of </w:t>
      </w:r>
      <w:r w:rsidR="003B4825" w:rsidRPr="00D674DF">
        <w:rPr>
          <w:color w:val="000000" w:themeColor="text1"/>
        </w:rPr>
        <w:t xml:space="preserve">Criminal </w:t>
      </w:r>
      <w:r w:rsidR="003F2F7D" w:rsidRPr="00D674DF">
        <w:rPr>
          <w:color w:val="000000" w:themeColor="text1"/>
        </w:rPr>
        <w:t>Appeal authority</w:t>
      </w:r>
    </w:p>
    <w:p w14:paraId="0F880C1B" w14:textId="7B03E54C" w:rsidR="00BF3A0A" w:rsidRPr="00D674DF" w:rsidRDefault="00BF3A0A"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As shall be seen, the decision at first instance</w:t>
      </w:r>
      <w:r w:rsidR="00EA49C8" w:rsidRPr="00D674DF">
        <w:rPr>
          <w:rFonts w:ascii="Arial" w:hAnsi="Arial" w:cs="Arial"/>
          <w:color w:val="000000" w:themeColor="text1"/>
        </w:rPr>
        <w:t xml:space="preserve"> for </w:t>
      </w:r>
      <w:r w:rsidR="00EA49C8" w:rsidRPr="00D674DF">
        <w:rPr>
          <w:rFonts w:ascii="Arial" w:hAnsi="Arial" w:cs="Arial"/>
          <w:i/>
          <w:iCs/>
          <w:color w:val="000000" w:themeColor="text1"/>
        </w:rPr>
        <w:t>Rodden</w:t>
      </w:r>
      <w:r w:rsidRPr="00D674DF">
        <w:rPr>
          <w:rFonts w:ascii="Arial" w:hAnsi="Arial" w:cs="Arial"/>
          <w:color w:val="000000" w:themeColor="text1"/>
        </w:rPr>
        <w:t xml:space="preserve"> had important consequences for the Legal Aid Commission of New South Wales (the Commission) and the provision of legal aid in New South Wales. </w:t>
      </w:r>
    </w:p>
    <w:p w14:paraId="71451D61" w14:textId="5F8081B4" w:rsidR="00BF3A0A" w:rsidRPr="00D674DF" w:rsidRDefault="00BF3A0A"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 xml:space="preserve">The Commission applied to be joined as a party to both applications </w:t>
      </w:r>
      <w:r w:rsidR="005C3FC0" w:rsidRPr="00D674DF">
        <w:rPr>
          <w:rFonts w:ascii="Arial" w:hAnsi="Arial" w:cs="Arial"/>
          <w:color w:val="000000" w:themeColor="text1"/>
        </w:rPr>
        <w:t>and</w:t>
      </w:r>
      <w:r w:rsidRPr="00D674DF">
        <w:rPr>
          <w:rFonts w:ascii="Arial" w:hAnsi="Arial" w:cs="Arial"/>
          <w:color w:val="000000" w:themeColor="text1"/>
        </w:rPr>
        <w:t xml:space="preserve">, in the alternative, to intervene. Its joinder was not opposed. Ordinarily, multiple appellants in the same appeal should not be separately represented. Mr Rodden and the Commission made common cause and presented a consistent case without duplication. In all the circumstances, the Court of Appeal declined to join the Commission as a party but have received its submissions as an intervener. </w:t>
      </w:r>
    </w:p>
    <w:p w14:paraId="43E8ED96" w14:textId="7EB37A10" w:rsidR="00BF3A0A" w:rsidRPr="00D674DF" w:rsidRDefault="00BF3A0A"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The Commission plainly had a real interest in the matter involving, as it did, important questions of construction in relation to its constituent Act, as well as implications in relation to its financial position.</w:t>
      </w:r>
    </w:p>
    <w:p w14:paraId="54DCD453" w14:textId="465EBFF5" w:rsidR="00A007AD" w:rsidRPr="00D674DF" w:rsidRDefault="00A007AD"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 xml:space="preserve">The </w:t>
      </w:r>
      <w:r w:rsidR="0071337D" w:rsidRPr="00D674DF">
        <w:rPr>
          <w:rFonts w:ascii="Arial" w:hAnsi="Arial" w:cs="Arial"/>
          <w:color w:val="000000" w:themeColor="text1"/>
        </w:rPr>
        <w:t>relevant procedural history</w:t>
      </w:r>
      <w:r w:rsidR="00C65916" w:rsidRPr="00D674DF">
        <w:rPr>
          <w:rFonts w:ascii="Arial" w:hAnsi="Arial" w:cs="Arial"/>
          <w:color w:val="000000" w:themeColor="text1"/>
        </w:rPr>
        <w:t xml:space="preserve"> and factual background</w:t>
      </w:r>
      <w:r w:rsidRPr="00D674DF">
        <w:rPr>
          <w:rFonts w:ascii="Arial" w:hAnsi="Arial" w:cs="Arial"/>
          <w:color w:val="000000" w:themeColor="text1"/>
        </w:rPr>
        <w:t xml:space="preserve"> </w:t>
      </w:r>
      <w:r w:rsidR="0071337D" w:rsidRPr="00D674DF">
        <w:rPr>
          <w:rFonts w:ascii="Arial" w:hAnsi="Arial" w:cs="Arial"/>
          <w:color w:val="000000" w:themeColor="text1"/>
        </w:rPr>
        <w:t>for</w:t>
      </w:r>
      <w:r w:rsidRPr="00D674DF">
        <w:rPr>
          <w:rFonts w:ascii="Arial" w:hAnsi="Arial" w:cs="Arial"/>
          <w:color w:val="000000" w:themeColor="text1"/>
        </w:rPr>
        <w:t xml:space="preserve"> </w:t>
      </w:r>
      <w:r w:rsidR="003F2F7D" w:rsidRPr="00D674DF">
        <w:rPr>
          <w:rFonts w:ascii="Arial" w:hAnsi="Arial" w:cs="Arial"/>
          <w:color w:val="000000" w:themeColor="text1"/>
        </w:rPr>
        <w:t xml:space="preserve">the </w:t>
      </w:r>
      <w:r w:rsidRPr="00D674DF">
        <w:rPr>
          <w:rFonts w:ascii="Arial" w:hAnsi="Arial" w:cs="Arial"/>
          <w:i/>
          <w:iCs/>
          <w:color w:val="000000" w:themeColor="text1"/>
        </w:rPr>
        <w:t>Rodden</w:t>
      </w:r>
      <w:r w:rsidR="003F2F7D" w:rsidRPr="00D674DF">
        <w:rPr>
          <w:rFonts w:ascii="Arial" w:hAnsi="Arial" w:cs="Arial"/>
          <w:i/>
          <w:iCs/>
          <w:color w:val="000000" w:themeColor="text1"/>
        </w:rPr>
        <w:t xml:space="preserve"> </w:t>
      </w:r>
      <w:r w:rsidR="003F2F7D" w:rsidRPr="00D674DF">
        <w:rPr>
          <w:rFonts w:ascii="Arial" w:hAnsi="Arial" w:cs="Arial"/>
          <w:color w:val="000000" w:themeColor="text1"/>
        </w:rPr>
        <w:t>appeal are eloquently cited below</w:t>
      </w:r>
      <w:r w:rsidRPr="00D674DF">
        <w:rPr>
          <w:rFonts w:ascii="Arial" w:hAnsi="Arial" w:cs="Arial"/>
          <w:color w:val="000000" w:themeColor="text1"/>
        </w:rPr>
        <w:t>:</w:t>
      </w:r>
      <w:r w:rsidR="003F2F7D" w:rsidRPr="00D674DF">
        <w:rPr>
          <w:rStyle w:val="FootnoteReference"/>
          <w:rFonts w:ascii="Arial" w:hAnsi="Arial" w:cs="Arial"/>
          <w:color w:val="000000" w:themeColor="text1"/>
        </w:rPr>
        <w:footnoteReference w:id="2"/>
      </w:r>
    </w:p>
    <w:p w14:paraId="144299A3" w14:textId="0F999BE8" w:rsidR="003E7365" w:rsidRPr="00D674DF" w:rsidRDefault="00431484" w:rsidP="00A03A03">
      <w:pPr>
        <w:pStyle w:val="ListParagraph"/>
        <w:numPr>
          <w:ilvl w:val="1"/>
          <w:numId w:val="13"/>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 xml:space="preserve">Mr </w:t>
      </w:r>
      <w:r w:rsidR="003E7365" w:rsidRPr="00D674DF">
        <w:rPr>
          <w:rFonts w:ascii="Arial" w:hAnsi="Arial" w:cs="Arial"/>
          <w:color w:val="000000" w:themeColor="text1"/>
        </w:rPr>
        <w:t>Simon Rodden (the applicant) brought two applications arising from the decision (the decision) of Fagan J (the primary judge)</w:t>
      </w:r>
      <w:r w:rsidR="00802837" w:rsidRPr="00D674DF">
        <w:rPr>
          <w:rStyle w:val="FootnoteReference"/>
          <w:rFonts w:ascii="Arial" w:hAnsi="Arial" w:cs="Arial"/>
          <w:color w:val="000000" w:themeColor="text1"/>
        </w:rPr>
        <w:t xml:space="preserve"> </w:t>
      </w:r>
      <w:r w:rsidR="00802837" w:rsidRPr="00D674DF">
        <w:rPr>
          <w:rStyle w:val="FootnoteReference"/>
          <w:rFonts w:ascii="Arial" w:hAnsi="Arial" w:cs="Arial"/>
          <w:color w:val="000000" w:themeColor="text1"/>
        </w:rPr>
        <w:footnoteReference w:id="3"/>
      </w:r>
      <w:r w:rsidR="003E7365" w:rsidRPr="00D674DF">
        <w:rPr>
          <w:rFonts w:ascii="Arial" w:hAnsi="Arial" w:cs="Arial"/>
          <w:color w:val="000000" w:themeColor="text1"/>
        </w:rPr>
        <w:t xml:space="preserve"> to refuse his application for a costs certificate under s</w:t>
      </w:r>
      <w:r w:rsidR="00F21F31" w:rsidRPr="00D674DF">
        <w:rPr>
          <w:rFonts w:ascii="Arial" w:hAnsi="Arial" w:cs="Arial"/>
          <w:color w:val="000000" w:themeColor="text1"/>
        </w:rPr>
        <w:t>ection</w:t>
      </w:r>
      <w:r w:rsidR="003E7365" w:rsidRPr="00D674DF">
        <w:rPr>
          <w:rFonts w:ascii="Arial" w:hAnsi="Arial" w:cs="Arial"/>
          <w:color w:val="000000" w:themeColor="text1"/>
        </w:rPr>
        <w:t xml:space="preserve"> 2 of the </w:t>
      </w:r>
      <w:r w:rsidR="003E7365" w:rsidRPr="00D674DF">
        <w:rPr>
          <w:rFonts w:ascii="Arial" w:hAnsi="Arial" w:cs="Arial"/>
          <w:i/>
          <w:iCs/>
          <w:color w:val="000000" w:themeColor="text1"/>
        </w:rPr>
        <w:t>Costs in Criminal Cases Act</w:t>
      </w:r>
      <w:r w:rsidR="003E7365" w:rsidRPr="00D674DF">
        <w:rPr>
          <w:rFonts w:ascii="Arial" w:hAnsi="Arial" w:cs="Arial"/>
          <w:color w:val="000000" w:themeColor="text1"/>
        </w:rPr>
        <w:t xml:space="preserve"> 1967 (NSW) (</w:t>
      </w:r>
      <w:r w:rsidR="003E7365" w:rsidRPr="00D674DF">
        <w:rPr>
          <w:rFonts w:ascii="Arial" w:hAnsi="Arial" w:cs="Arial"/>
          <w:b/>
          <w:bCs/>
          <w:color w:val="000000" w:themeColor="text1"/>
        </w:rPr>
        <w:t xml:space="preserve">the </w:t>
      </w:r>
      <w:r w:rsidR="003E7365" w:rsidRPr="00D674DF">
        <w:rPr>
          <w:rFonts w:ascii="Arial" w:hAnsi="Arial" w:cs="Arial"/>
          <w:b/>
          <w:bCs/>
          <w:i/>
          <w:iCs/>
          <w:color w:val="000000" w:themeColor="text1"/>
        </w:rPr>
        <w:t>Act</w:t>
      </w:r>
      <w:r w:rsidR="003E7365" w:rsidRPr="00D674DF">
        <w:rPr>
          <w:rFonts w:ascii="Arial" w:hAnsi="Arial" w:cs="Arial"/>
          <w:color w:val="000000" w:themeColor="text1"/>
        </w:rPr>
        <w:t>).</w:t>
      </w:r>
    </w:p>
    <w:p w14:paraId="35948E1C" w14:textId="31659A94" w:rsidR="003E7365" w:rsidRPr="00D674DF" w:rsidRDefault="003E7365" w:rsidP="00A03A03">
      <w:pPr>
        <w:pStyle w:val="ListParagraph"/>
        <w:numPr>
          <w:ilvl w:val="1"/>
          <w:numId w:val="13"/>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 xml:space="preserve">The applicant was acquitted of murder by a jury on 29 July 2022. He had been granted legal aid for his defence prior to the trial, obliging him to </w:t>
      </w:r>
      <w:r w:rsidR="00D06260" w:rsidRPr="00D674DF">
        <w:rPr>
          <w:rFonts w:ascii="Arial" w:hAnsi="Arial" w:cs="Arial"/>
          <w:color w:val="000000" w:themeColor="text1"/>
        </w:rPr>
        <w:t>contribute</w:t>
      </w:r>
      <w:r w:rsidRPr="00D674DF">
        <w:rPr>
          <w:rFonts w:ascii="Arial" w:hAnsi="Arial" w:cs="Arial"/>
          <w:color w:val="000000" w:themeColor="text1"/>
        </w:rPr>
        <w:t xml:space="preserve"> of $75 to his defence. He had also expended money on his </w:t>
      </w:r>
      <w:r w:rsidRPr="00D674DF">
        <w:rPr>
          <w:rFonts w:ascii="Arial" w:hAnsi="Arial" w:cs="Arial"/>
          <w:color w:val="000000" w:themeColor="text1"/>
        </w:rPr>
        <w:lastRenderedPageBreak/>
        <w:t>defence prior to his grant of legal aid. Following his acquittal, the applicant applied for a costs certificate pursuant to s</w:t>
      </w:r>
      <w:r w:rsidR="00F21F31" w:rsidRPr="00D674DF">
        <w:rPr>
          <w:rFonts w:ascii="Arial" w:hAnsi="Arial" w:cs="Arial"/>
          <w:color w:val="000000" w:themeColor="text1"/>
        </w:rPr>
        <w:t>ection</w:t>
      </w:r>
      <w:r w:rsidRPr="00D674DF">
        <w:rPr>
          <w:rFonts w:ascii="Arial" w:hAnsi="Arial" w:cs="Arial"/>
          <w:color w:val="000000" w:themeColor="text1"/>
        </w:rPr>
        <w:t xml:space="preserve"> 2 of the </w:t>
      </w:r>
      <w:r w:rsidRPr="00D674DF">
        <w:rPr>
          <w:rFonts w:ascii="Arial" w:hAnsi="Arial" w:cs="Arial"/>
          <w:i/>
          <w:iCs/>
          <w:color w:val="000000" w:themeColor="text1"/>
        </w:rPr>
        <w:t>Act</w:t>
      </w:r>
      <w:r w:rsidRPr="00D674DF">
        <w:rPr>
          <w:rFonts w:ascii="Arial" w:hAnsi="Arial" w:cs="Arial"/>
          <w:color w:val="000000" w:themeColor="text1"/>
        </w:rPr>
        <w:t>.</w:t>
      </w:r>
    </w:p>
    <w:p w14:paraId="284C6117" w14:textId="47136645" w:rsidR="003E7365" w:rsidRPr="00D674DF" w:rsidRDefault="003E7365" w:rsidP="00A03A03">
      <w:pPr>
        <w:pStyle w:val="ListParagraph"/>
        <w:numPr>
          <w:ilvl w:val="1"/>
          <w:numId w:val="13"/>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The primary judge declined the application for a costs certificate on two bases. First, his Honour held that no application could lie where an applicant was entirely legally aided and made no personal financial outlay in his or her own defence. Second, his Honour held that, even if a certificate could be granted where the acquitted applicant had made no personal financial outlay in his or her own defence, he would not have granted a certificate in any event as it would not have been unreasonable for a hypothetical prosecutor in possession of all the relevant facts to have instituted proceedings in this case.</w:t>
      </w:r>
    </w:p>
    <w:p w14:paraId="416A1A02" w14:textId="7DB7B7C8" w:rsidR="003E7365" w:rsidRPr="00D674DF" w:rsidRDefault="003E7365" w:rsidP="00A03A03">
      <w:pPr>
        <w:pStyle w:val="ListParagraph"/>
        <w:numPr>
          <w:ilvl w:val="1"/>
          <w:numId w:val="13"/>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The first of the applications (2019/00181340), filed in the Court of Criminal Appeal, was for leave to appeal from the decision pursuant to s</w:t>
      </w:r>
      <w:r w:rsidR="00EF63F0" w:rsidRPr="00D674DF">
        <w:rPr>
          <w:rFonts w:ascii="Arial" w:hAnsi="Arial" w:cs="Arial"/>
          <w:color w:val="000000" w:themeColor="text1"/>
        </w:rPr>
        <w:t>ection</w:t>
      </w:r>
      <w:r w:rsidRPr="00D674DF">
        <w:rPr>
          <w:rFonts w:ascii="Arial" w:hAnsi="Arial" w:cs="Arial"/>
          <w:color w:val="000000" w:themeColor="text1"/>
        </w:rPr>
        <w:t xml:space="preserve"> 5F of the </w:t>
      </w:r>
      <w:r w:rsidRPr="00D674DF">
        <w:rPr>
          <w:rFonts w:ascii="Arial" w:hAnsi="Arial" w:cs="Arial"/>
          <w:i/>
          <w:iCs/>
          <w:color w:val="000000" w:themeColor="text1"/>
        </w:rPr>
        <w:t>Criminal Appeal Act</w:t>
      </w:r>
      <w:r w:rsidRPr="00D674DF">
        <w:rPr>
          <w:rFonts w:ascii="Arial" w:hAnsi="Arial" w:cs="Arial"/>
          <w:color w:val="000000" w:themeColor="text1"/>
        </w:rPr>
        <w:t xml:space="preserve"> 1912 (NSW). For this application to be competent, the decision must have been an “</w:t>
      </w:r>
      <w:r w:rsidRPr="00D674DF">
        <w:rPr>
          <w:rFonts w:ascii="Arial" w:hAnsi="Arial" w:cs="Arial"/>
          <w:i/>
          <w:iCs/>
          <w:color w:val="000000" w:themeColor="text1"/>
        </w:rPr>
        <w:t>interlocutory judgment or order given or made in the proceedings</w:t>
      </w:r>
      <w:r w:rsidRPr="00D674DF">
        <w:rPr>
          <w:rFonts w:ascii="Arial" w:hAnsi="Arial" w:cs="Arial"/>
          <w:color w:val="000000" w:themeColor="text1"/>
        </w:rPr>
        <w:t>” (in the language of s 5</w:t>
      </w:r>
      <w:proofErr w:type="gramStart"/>
      <w:r w:rsidRPr="00D674DF">
        <w:rPr>
          <w:rFonts w:ascii="Arial" w:hAnsi="Arial" w:cs="Arial"/>
          <w:color w:val="000000" w:themeColor="text1"/>
        </w:rPr>
        <w:t>F(</w:t>
      </w:r>
      <w:proofErr w:type="gramEnd"/>
      <w:r w:rsidRPr="00D674DF">
        <w:rPr>
          <w:rFonts w:ascii="Arial" w:hAnsi="Arial" w:cs="Arial"/>
          <w:color w:val="000000" w:themeColor="text1"/>
        </w:rPr>
        <w:t xml:space="preserve">3) of the </w:t>
      </w:r>
      <w:r w:rsidRPr="00D674DF">
        <w:rPr>
          <w:rFonts w:ascii="Arial" w:hAnsi="Arial" w:cs="Arial"/>
          <w:i/>
          <w:iCs/>
          <w:color w:val="000000" w:themeColor="text1"/>
        </w:rPr>
        <w:t>Criminal Appeal Act</w:t>
      </w:r>
      <w:r w:rsidRPr="00D674DF">
        <w:rPr>
          <w:rFonts w:ascii="Arial" w:hAnsi="Arial" w:cs="Arial"/>
          <w:color w:val="000000" w:themeColor="text1"/>
        </w:rPr>
        <w:t>).</w:t>
      </w:r>
    </w:p>
    <w:p w14:paraId="1E74A382" w14:textId="278B5E81" w:rsidR="003E7365" w:rsidRPr="00D674DF" w:rsidRDefault="003E7365" w:rsidP="00A03A03">
      <w:pPr>
        <w:pStyle w:val="ListParagraph"/>
        <w:numPr>
          <w:ilvl w:val="1"/>
          <w:numId w:val="13"/>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The second application, brought by way of Amended Summons in the Court of Appeal (2023/109813), was for judicial review of the decision. This application was advanced in the alternative and on the basis that the decision was administrative in character, rather than judicial. This application sought relief pursuant to s</w:t>
      </w:r>
      <w:r w:rsidR="000A63D5" w:rsidRPr="00D674DF">
        <w:rPr>
          <w:rFonts w:ascii="Arial" w:hAnsi="Arial" w:cs="Arial"/>
          <w:color w:val="000000" w:themeColor="text1"/>
        </w:rPr>
        <w:t>ection</w:t>
      </w:r>
      <w:r w:rsidRPr="00D674DF">
        <w:rPr>
          <w:rFonts w:ascii="Arial" w:hAnsi="Arial" w:cs="Arial"/>
          <w:color w:val="000000" w:themeColor="text1"/>
        </w:rPr>
        <w:t xml:space="preserve"> 69 of the </w:t>
      </w:r>
      <w:r w:rsidRPr="00D674DF">
        <w:rPr>
          <w:rFonts w:ascii="Arial" w:hAnsi="Arial" w:cs="Arial"/>
          <w:i/>
          <w:iCs/>
          <w:color w:val="000000" w:themeColor="text1"/>
        </w:rPr>
        <w:t xml:space="preserve">Supreme Court Act </w:t>
      </w:r>
      <w:r w:rsidRPr="00D674DF">
        <w:rPr>
          <w:rFonts w:ascii="Arial" w:hAnsi="Arial" w:cs="Arial"/>
          <w:color w:val="000000" w:themeColor="text1"/>
        </w:rPr>
        <w:t>1970 (NSW)</w:t>
      </w:r>
      <w:r w:rsidR="00191CEC" w:rsidRPr="00D674DF">
        <w:rPr>
          <w:rFonts w:ascii="Arial" w:hAnsi="Arial" w:cs="Arial"/>
          <w:color w:val="000000" w:themeColor="text1"/>
        </w:rPr>
        <w:t>.</w:t>
      </w:r>
    </w:p>
    <w:p w14:paraId="72AE3C1C" w14:textId="682E7A61" w:rsidR="003E7365" w:rsidRPr="00D674DF" w:rsidRDefault="00C65916" w:rsidP="00DF04F5">
      <w:pPr>
        <w:pStyle w:val="ListParagraph"/>
        <w:numPr>
          <w:ilvl w:val="1"/>
          <w:numId w:val="13"/>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To</w:t>
      </w:r>
      <w:r w:rsidR="003E7365" w:rsidRPr="00D674DF">
        <w:rPr>
          <w:rFonts w:ascii="Arial" w:hAnsi="Arial" w:cs="Arial"/>
          <w:color w:val="000000" w:themeColor="text1"/>
        </w:rPr>
        <w:t xml:space="preserve"> resolve the applications, the Court of Criminal Appeal and the Court of Appeal sat concurrently and identically constituted.</w:t>
      </w:r>
    </w:p>
    <w:p w14:paraId="6B7E419F" w14:textId="0C0DB7D7" w:rsidR="003E7365" w:rsidRPr="00D674DF" w:rsidRDefault="003E7365" w:rsidP="00A03A03">
      <w:pPr>
        <w:pStyle w:val="ListParagraph"/>
        <w:numPr>
          <w:ilvl w:val="1"/>
          <w:numId w:val="13"/>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There were three principal issues on appeal:</w:t>
      </w:r>
    </w:p>
    <w:p w14:paraId="65A864E6" w14:textId="0552683C" w:rsidR="003E7365" w:rsidRPr="00D674DF" w:rsidRDefault="003E7365" w:rsidP="00A03A03">
      <w:pPr>
        <w:pStyle w:val="ListParagraph"/>
        <w:numPr>
          <w:ilvl w:val="2"/>
          <w:numId w:val="15"/>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whether the Court of Criminal Appeal or the Court of Appeal (or neither, as submitted by the Crown) had jurisdiction to determine the challenge to the decision (the jurisdictional issue</w:t>
      </w:r>
      <w:proofErr w:type="gramStart"/>
      <w:r w:rsidRPr="00D674DF">
        <w:rPr>
          <w:rFonts w:ascii="Arial" w:hAnsi="Arial" w:cs="Arial"/>
          <w:color w:val="000000" w:themeColor="text1"/>
        </w:rPr>
        <w:t>);</w:t>
      </w:r>
      <w:proofErr w:type="gramEnd"/>
    </w:p>
    <w:p w14:paraId="0AC2D45B" w14:textId="457570F5" w:rsidR="003E7365" w:rsidRPr="00D674DF" w:rsidRDefault="003E7365" w:rsidP="00A03A03">
      <w:pPr>
        <w:pStyle w:val="ListParagraph"/>
        <w:numPr>
          <w:ilvl w:val="2"/>
          <w:numId w:val="15"/>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 xml:space="preserve">whether, on its proper construction, the </w:t>
      </w:r>
      <w:r w:rsidRPr="00D674DF">
        <w:rPr>
          <w:rFonts w:ascii="Arial" w:hAnsi="Arial" w:cs="Arial"/>
          <w:i/>
          <w:iCs/>
          <w:color w:val="000000" w:themeColor="text1"/>
        </w:rPr>
        <w:t>Act</w:t>
      </w:r>
      <w:r w:rsidRPr="00D674DF">
        <w:rPr>
          <w:rFonts w:ascii="Arial" w:hAnsi="Arial" w:cs="Arial"/>
          <w:color w:val="000000" w:themeColor="text1"/>
        </w:rPr>
        <w:t xml:space="preserve"> permitted the recovery of costs by completely legally aided defendants (the statutory construction issue); and</w:t>
      </w:r>
    </w:p>
    <w:p w14:paraId="769FC800" w14:textId="63A88540" w:rsidR="003E7365" w:rsidRPr="00D674DF" w:rsidRDefault="003E7365" w:rsidP="00A03A03">
      <w:pPr>
        <w:pStyle w:val="ListParagraph"/>
        <w:numPr>
          <w:ilvl w:val="2"/>
          <w:numId w:val="15"/>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lastRenderedPageBreak/>
        <w:t>whether it would have been unreasonable for a hypothetical prosecutor in possession of all the relevant facts to have instituted proceedings (the factual issue).</w:t>
      </w:r>
    </w:p>
    <w:p w14:paraId="4626D643" w14:textId="530CCA55" w:rsidR="00D347F0" w:rsidRPr="00D674DF" w:rsidRDefault="0004454F" w:rsidP="00A03A03">
      <w:pPr>
        <w:pStyle w:val="ListParagraph"/>
        <w:numPr>
          <w:ilvl w:val="1"/>
          <w:numId w:val="13"/>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 xml:space="preserve">The Court (Bell CJ, Leeming JA, Beech-Jones JA) held, granting leave to appeal but </w:t>
      </w:r>
      <w:r w:rsidRPr="00D674DF">
        <w:rPr>
          <w:rFonts w:ascii="Arial" w:hAnsi="Arial" w:cs="Arial"/>
          <w:b/>
          <w:bCs/>
          <w:color w:val="000000" w:themeColor="text1"/>
        </w:rPr>
        <w:t>dismissing</w:t>
      </w:r>
      <w:r w:rsidRPr="00D674DF">
        <w:rPr>
          <w:rFonts w:ascii="Arial" w:hAnsi="Arial" w:cs="Arial"/>
          <w:color w:val="000000" w:themeColor="text1"/>
        </w:rPr>
        <w:t xml:space="preserve"> the appeal:</w:t>
      </w:r>
    </w:p>
    <w:p w14:paraId="7488E687" w14:textId="77777777" w:rsidR="009F5A35" w:rsidRPr="00D674DF" w:rsidRDefault="009F5A35" w:rsidP="00A03A03">
      <w:pPr>
        <w:snapToGrid w:val="0"/>
        <w:spacing w:before="240" w:after="240" w:line="360" w:lineRule="auto"/>
        <w:ind w:left="720" w:firstLine="720"/>
        <w:rPr>
          <w:rFonts w:ascii="Arial" w:hAnsi="Arial" w:cs="Arial"/>
          <w:i/>
          <w:iCs/>
          <w:color w:val="000000" w:themeColor="text1"/>
        </w:rPr>
      </w:pPr>
      <w:r w:rsidRPr="00D674DF">
        <w:rPr>
          <w:rFonts w:ascii="Arial" w:hAnsi="Arial" w:cs="Arial"/>
          <w:i/>
          <w:iCs/>
          <w:color w:val="000000" w:themeColor="text1"/>
        </w:rPr>
        <w:t>As to the jurisdictional issue</w:t>
      </w:r>
    </w:p>
    <w:p w14:paraId="1646AE01" w14:textId="560C7E5B" w:rsidR="009F5A35" w:rsidRPr="00D674DF" w:rsidRDefault="009F5A35" w:rsidP="00A03A03">
      <w:pPr>
        <w:pStyle w:val="ListParagraph"/>
        <w:numPr>
          <w:ilvl w:val="0"/>
          <w:numId w:val="16"/>
        </w:numPr>
        <w:snapToGrid w:val="0"/>
        <w:spacing w:before="240" w:after="240" w:line="360" w:lineRule="auto"/>
        <w:ind w:left="2410"/>
        <w:contextualSpacing w:val="0"/>
        <w:rPr>
          <w:rFonts w:ascii="Arial" w:hAnsi="Arial" w:cs="Arial"/>
          <w:color w:val="000000" w:themeColor="text1"/>
        </w:rPr>
      </w:pPr>
      <w:r w:rsidRPr="00D674DF">
        <w:rPr>
          <w:rFonts w:ascii="Arial" w:hAnsi="Arial" w:cs="Arial"/>
          <w:color w:val="000000" w:themeColor="text1"/>
        </w:rPr>
        <w:t xml:space="preserve">The function of granting or declining to grant a costs certificate is not of an administrative </w:t>
      </w:r>
      <w:r w:rsidR="002C092F" w:rsidRPr="00D674DF">
        <w:rPr>
          <w:rFonts w:ascii="Arial" w:hAnsi="Arial" w:cs="Arial"/>
          <w:color w:val="000000" w:themeColor="text1"/>
        </w:rPr>
        <w:t>character but</w:t>
      </w:r>
      <w:r w:rsidRPr="00D674DF">
        <w:rPr>
          <w:rFonts w:ascii="Arial" w:hAnsi="Arial" w:cs="Arial"/>
          <w:color w:val="000000" w:themeColor="text1"/>
        </w:rPr>
        <w:t xml:space="preserve"> is an exercise of judicial power. The Court of Appeal has no supervisory jurisdiction over a judicial decision of a judge of a superior court: [60]-[73].</w:t>
      </w:r>
    </w:p>
    <w:p w14:paraId="4DEBD6BE" w14:textId="70AA6BA7" w:rsidR="009F5A35" w:rsidRPr="00D674DF" w:rsidRDefault="009F5A35" w:rsidP="00A03A03">
      <w:pPr>
        <w:pStyle w:val="ListParagraph"/>
        <w:numPr>
          <w:ilvl w:val="0"/>
          <w:numId w:val="16"/>
        </w:numPr>
        <w:snapToGrid w:val="0"/>
        <w:spacing w:before="240" w:after="240" w:line="360" w:lineRule="auto"/>
        <w:ind w:left="2410"/>
        <w:contextualSpacing w:val="0"/>
        <w:rPr>
          <w:rFonts w:ascii="Arial" w:hAnsi="Arial" w:cs="Arial"/>
          <w:color w:val="000000" w:themeColor="text1"/>
        </w:rPr>
      </w:pPr>
      <w:r w:rsidRPr="00D674DF">
        <w:rPr>
          <w:rFonts w:ascii="Arial" w:hAnsi="Arial" w:cs="Arial"/>
          <w:color w:val="000000" w:themeColor="text1"/>
        </w:rPr>
        <w:t>The “</w:t>
      </w:r>
      <w:r w:rsidRPr="00D674DF">
        <w:rPr>
          <w:rFonts w:ascii="Arial" w:hAnsi="Arial" w:cs="Arial"/>
          <w:i/>
          <w:iCs/>
          <w:color w:val="000000" w:themeColor="text1"/>
        </w:rPr>
        <w:t>order</w:t>
      </w:r>
      <w:r w:rsidRPr="00D674DF">
        <w:rPr>
          <w:rFonts w:ascii="Arial" w:hAnsi="Arial" w:cs="Arial"/>
          <w:color w:val="000000" w:themeColor="text1"/>
        </w:rPr>
        <w:t>” to dismiss the application was interlocutory: [78], [85].</w:t>
      </w:r>
    </w:p>
    <w:p w14:paraId="7B43E2E7" w14:textId="4EBD589D" w:rsidR="009F5A35" w:rsidRPr="00D674DF" w:rsidRDefault="009F5A35" w:rsidP="00A03A03">
      <w:pPr>
        <w:pStyle w:val="ListParagraph"/>
        <w:numPr>
          <w:ilvl w:val="0"/>
          <w:numId w:val="16"/>
        </w:numPr>
        <w:snapToGrid w:val="0"/>
        <w:spacing w:before="240" w:after="240" w:line="360" w:lineRule="auto"/>
        <w:ind w:left="2410"/>
        <w:contextualSpacing w:val="0"/>
        <w:rPr>
          <w:rFonts w:ascii="Arial" w:hAnsi="Arial" w:cs="Arial"/>
          <w:color w:val="000000" w:themeColor="text1"/>
        </w:rPr>
      </w:pPr>
      <w:r w:rsidRPr="00D674DF">
        <w:rPr>
          <w:rFonts w:ascii="Arial" w:hAnsi="Arial" w:cs="Arial"/>
          <w:color w:val="000000" w:themeColor="text1"/>
        </w:rPr>
        <w:t>The order to dismiss the application was one that was “</w:t>
      </w:r>
      <w:r w:rsidRPr="00D674DF">
        <w:rPr>
          <w:rFonts w:ascii="Arial" w:hAnsi="Arial" w:cs="Arial"/>
          <w:i/>
          <w:iCs/>
          <w:color w:val="000000" w:themeColor="text1"/>
        </w:rPr>
        <w:t>given or made in the proceedings</w:t>
      </w:r>
      <w:r w:rsidRPr="00D674DF">
        <w:rPr>
          <w:rFonts w:ascii="Arial" w:hAnsi="Arial" w:cs="Arial"/>
          <w:color w:val="000000" w:themeColor="text1"/>
        </w:rPr>
        <w:t xml:space="preserve">” “for the prosecution of [the] offender on indictment”, in the language of s 5F of the </w:t>
      </w:r>
      <w:r w:rsidRPr="00D674DF">
        <w:rPr>
          <w:rFonts w:ascii="Arial" w:hAnsi="Arial" w:cs="Arial"/>
          <w:i/>
          <w:iCs/>
          <w:color w:val="000000" w:themeColor="text1"/>
        </w:rPr>
        <w:t>Criminal Appeal Act</w:t>
      </w:r>
      <w:r w:rsidRPr="00D674DF">
        <w:rPr>
          <w:rFonts w:ascii="Arial" w:hAnsi="Arial" w:cs="Arial"/>
          <w:color w:val="000000" w:themeColor="text1"/>
        </w:rPr>
        <w:t xml:space="preserve"> 1912 (NSW) notwithstanding that the applicant had already been acquitted: [86], [97].</w:t>
      </w:r>
    </w:p>
    <w:p w14:paraId="3E31E231" w14:textId="72BA595A" w:rsidR="00DF04F5" w:rsidRPr="00D674DF" w:rsidRDefault="009F5A35" w:rsidP="00DF04F5">
      <w:pPr>
        <w:pStyle w:val="ListParagraph"/>
        <w:numPr>
          <w:ilvl w:val="0"/>
          <w:numId w:val="16"/>
        </w:numPr>
        <w:snapToGrid w:val="0"/>
        <w:spacing w:before="240" w:after="240" w:line="360" w:lineRule="auto"/>
        <w:ind w:left="2410"/>
        <w:contextualSpacing w:val="0"/>
        <w:rPr>
          <w:rFonts w:ascii="Arial" w:hAnsi="Arial" w:cs="Arial"/>
          <w:color w:val="000000" w:themeColor="text1"/>
        </w:rPr>
      </w:pPr>
      <w:r w:rsidRPr="00D674DF">
        <w:rPr>
          <w:rFonts w:ascii="Arial" w:hAnsi="Arial" w:cs="Arial"/>
          <w:color w:val="000000" w:themeColor="text1"/>
        </w:rPr>
        <w:t>The Court of Criminal Appeal therefore had jurisdiction pursuant to s 5F of the Criminal Appeal Act to entertain an appeal from the decision, subject to the grant of leave: [97].</w:t>
      </w:r>
    </w:p>
    <w:p w14:paraId="03C05E06" w14:textId="1CC49FC4" w:rsidR="003F782F" w:rsidRPr="00D674DF" w:rsidRDefault="00CE2A43" w:rsidP="00DF04F5">
      <w:pPr>
        <w:snapToGrid w:val="0"/>
        <w:spacing w:before="240" w:after="240" w:line="360" w:lineRule="auto"/>
        <w:ind w:left="1418"/>
        <w:rPr>
          <w:rFonts w:ascii="Arial" w:hAnsi="Arial" w:cs="Arial"/>
          <w:color w:val="000000" w:themeColor="text1"/>
        </w:rPr>
      </w:pPr>
      <w:r w:rsidRPr="00D674DF">
        <w:rPr>
          <w:rFonts w:ascii="Arial" w:hAnsi="Arial" w:cs="Arial"/>
          <w:i/>
          <w:iCs/>
          <w:color w:val="000000" w:themeColor="text1"/>
        </w:rPr>
        <w:t>As to the statutory construction issue</w:t>
      </w:r>
    </w:p>
    <w:p w14:paraId="52E3AF13" w14:textId="7C4811D6" w:rsidR="003F782F" w:rsidRPr="00D674DF" w:rsidRDefault="00F63DD2" w:rsidP="00A03A03">
      <w:pPr>
        <w:pStyle w:val="ListParagraph"/>
        <w:numPr>
          <w:ilvl w:val="0"/>
          <w:numId w:val="17"/>
        </w:numPr>
        <w:snapToGrid w:val="0"/>
        <w:spacing w:before="240" w:after="240" w:line="360" w:lineRule="auto"/>
        <w:ind w:left="2410"/>
        <w:contextualSpacing w:val="0"/>
        <w:rPr>
          <w:rFonts w:ascii="Arial" w:hAnsi="Arial" w:cs="Arial"/>
          <w:color w:val="000000" w:themeColor="text1"/>
        </w:rPr>
      </w:pPr>
      <w:r w:rsidRPr="00D674DF">
        <w:rPr>
          <w:rFonts w:ascii="Arial" w:hAnsi="Arial" w:cs="Arial"/>
          <w:color w:val="000000" w:themeColor="text1"/>
        </w:rPr>
        <w:t xml:space="preserve">An entirely legally aided applicant can be granted a certificate under the </w:t>
      </w:r>
      <w:r w:rsidRPr="00D674DF">
        <w:rPr>
          <w:rFonts w:ascii="Arial" w:hAnsi="Arial" w:cs="Arial"/>
          <w:i/>
          <w:iCs/>
          <w:color w:val="000000" w:themeColor="text1"/>
        </w:rPr>
        <w:t>Act</w:t>
      </w:r>
      <w:r w:rsidRPr="00D674DF">
        <w:rPr>
          <w:rFonts w:ascii="Arial" w:hAnsi="Arial" w:cs="Arial"/>
          <w:color w:val="000000" w:themeColor="text1"/>
        </w:rPr>
        <w:t>: [110], [119].</w:t>
      </w:r>
    </w:p>
    <w:p w14:paraId="7A762DF3" w14:textId="22CDBC24" w:rsidR="0079586B" w:rsidRPr="00D674DF" w:rsidRDefault="004D27D0" w:rsidP="0079586B">
      <w:pPr>
        <w:pStyle w:val="ListParagraph"/>
        <w:numPr>
          <w:ilvl w:val="0"/>
          <w:numId w:val="17"/>
        </w:numPr>
        <w:snapToGrid w:val="0"/>
        <w:spacing w:before="240" w:after="240" w:line="360" w:lineRule="auto"/>
        <w:ind w:left="2410" w:hanging="357"/>
        <w:contextualSpacing w:val="0"/>
        <w:rPr>
          <w:rFonts w:ascii="Arial" w:hAnsi="Arial" w:cs="Arial"/>
          <w:color w:val="000000" w:themeColor="text1"/>
        </w:rPr>
      </w:pPr>
      <w:r w:rsidRPr="00D674DF">
        <w:rPr>
          <w:rFonts w:ascii="Arial" w:hAnsi="Arial" w:cs="Arial"/>
          <w:color w:val="000000" w:themeColor="text1"/>
        </w:rPr>
        <w:t xml:space="preserve">The starting point on an application for a costs certificate should be consideration of the two matters set out in section 3(1) of the </w:t>
      </w:r>
      <w:r w:rsidRPr="00D674DF">
        <w:rPr>
          <w:rFonts w:ascii="Arial" w:hAnsi="Arial" w:cs="Arial"/>
          <w:i/>
          <w:iCs/>
          <w:color w:val="000000" w:themeColor="text1"/>
        </w:rPr>
        <w:t>Act</w:t>
      </w:r>
      <w:r w:rsidRPr="00D674DF">
        <w:rPr>
          <w:rFonts w:ascii="Arial" w:hAnsi="Arial" w:cs="Arial"/>
          <w:color w:val="000000" w:themeColor="text1"/>
        </w:rPr>
        <w:t>. If section 2 does confer a residual discretion to decline to grant a costs certificate, a certificate should ordinarily be granted given the beneficial purpose of the Act: [111], [117].</w:t>
      </w:r>
    </w:p>
    <w:p w14:paraId="6B28D2B7" w14:textId="14B4E307" w:rsidR="00F63DD2" w:rsidRPr="00D674DF" w:rsidRDefault="007B3183" w:rsidP="0079586B">
      <w:pPr>
        <w:pStyle w:val="ListParagraph"/>
        <w:snapToGrid w:val="0"/>
        <w:spacing w:before="240" w:after="240" w:line="360" w:lineRule="auto"/>
        <w:ind w:left="2410"/>
        <w:contextualSpacing w:val="0"/>
        <w:rPr>
          <w:rFonts w:ascii="Arial" w:hAnsi="Arial" w:cs="Arial"/>
          <w:color w:val="000000" w:themeColor="text1"/>
        </w:rPr>
      </w:pPr>
      <w:proofErr w:type="spellStart"/>
      <w:r w:rsidRPr="00D674DF">
        <w:rPr>
          <w:rFonts w:ascii="Arial" w:hAnsi="Arial" w:cs="Arial"/>
          <w:i/>
          <w:iCs/>
          <w:color w:val="000000" w:themeColor="text1"/>
        </w:rPr>
        <w:t>Gwozdecky</w:t>
      </w:r>
      <w:proofErr w:type="spellEnd"/>
      <w:r w:rsidRPr="00D674DF">
        <w:rPr>
          <w:rFonts w:ascii="Arial" w:hAnsi="Arial" w:cs="Arial"/>
          <w:i/>
          <w:iCs/>
          <w:color w:val="000000" w:themeColor="text1"/>
        </w:rPr>
        <w:t xml:space="preserve"> v Director of Public Prosecutions (1992) 65 A Crim R 160; R v Johnston [2000] NSWCCA 197; Mordaunt v Director of </w:t>
      </w:r>
      <w:r w:rsidRPr="00D674DF">
        <w:rPr>
          <w:rFonts w:ascii="Arial" w:hAnsi="Arial" w:cs="Arial"/>
          <w:i/>
          <w:iCs/>
          <w:color w:val="000000" w:themeColor="text1"/>
        </w:rPr>
        <w:lastRenderedPageBreak/>
        <w:t>Public Prosecutions [2007] NSWCA 121; (2007) 171 A Crim R 510, cited.</w:t>
      </w:r>
    </w:p>
    <w:p w14:paraId="527310ED" w14:textId="74960A9B" w:rsidR="00810206" w:rsidRPr="00D674DF" w:rsidRDefault="00E6650B" w:rsidP="00A03A03">
      <w:pPr>
        <w:pStyle w:val="ListParagraph"/>
        <w:numPr>
          <w:ilvl w:val="0"/>
          <w:numId w:val="17"/>
        </w:numPr>
        <w:snapToGrid w:val="0"/>
        <w:spacing w:before="240" w:after="240" w:line="360" w:lineRule="auto"/>
        <w:ind w:left="2410"/>
        <w:contextualSpacing w:val="0"/>
        <w:rPr>
          <w:rFonts w:ascii="Arial" w:hAnsi="Arial" w:cs="Arial"/>
          <w:color w:val="000000" w:themeColor="text1"/>
        </w:rPr>
      </w:pPr>
      <w:r w:rsidRPr="00D674DF">
        <w:rPr>
          <w:rFonts w:ascii="Arial" w:hAnsi="Arial" w:cs="Arial"/>
          <w:color w:val="000000" w:themeColor="text1"/>
        </w:rPr>
        <w:t xml:space="preserve">Section 4 of the </w:t>
      </w:r>
      <w:r w:rsidRPr="00D674DF">
        <w:rPr>
          <w:rFonts w:ascii="Arial" w:hAnsi="Arial" w:cs="Arial"/>
          <w:i/>
          <w:iCs/>
          <w:color w:val="000000" w:themeColor="text1"/>
        </w:rPr>
        <w:t>Act</w:t>
      </w:r>
      <w:r w:rsidRPr="00D674DF">
        <w:rPr>
          <w:rFonts w:ascii="Arial" w:hAnsi="Arial" w:cs="Arial"/>
          <w:color w:val="000000" w:themeColor="text1"/>
        </w:rPr>
        <w:t xml:space="preserve"> should not be read in a way which limits the reach of the Act’s application: [122].</w:t>
      </w:r>
    </w:p>
    <w:p w14:paraId="1C64509B" w14:textId="1ED69963" w:rsidR="00810206" w:rsidRPr="00D674DF" w:rsidRDefault="00810206" w:rsidP="00DF04F5">
      <w:pPr>
        <w:snapToGrid w:val="0"/>
        <w:spacing w:before="240" w:after="240" w:line="360" w:lineRule="auto"/>
        <w:ind w:left="1418"/>
        <w:rPr>
          <w:rFonts w:ascii="Arial" w:hAnsi="Arial" w:cs="Arial"/>
          <w:color w:val="000000" w:themeColor="text1"/>
        </w:rPr>
      </w:pPr>
      <w:r w:rsidRPr="00D674DF">
        <w:rPr>
          <w:rFonts w:ascii="Arial" w:hAnsi="Arial" w:cs="Arial"/>
          <w:i/>
          <w:iCs/>
          <w:color w:val="000000" w:themeColor="text1"/>
        </w:rPr>
        <w:t>As to the factual issue</w:t>
      </w:r>
    </w:p>
    <w:p w14:paraId="63DBCB8F" w14:textId="7DD72B2A" w:rsidR="003E7365" w:rsidRPr="00D674DF" w:rsidRDefault="00194E63" w:rsidP="00A03A03">
      <w:pPr>
        <w:pStyle w:val="ListParagraph"/>
        <w:numPr>
          <w:ilvl w:val="0"/>
          <w:numId w:val="18"/>
        </w:numPr>
        <w:snapToGrid w:val="0"/>
        <w:spacing w:before="240" w:after="240" w:line="360" w:lineRule="auto"/>
        <w:ind w:left="2410"/>
        <w:contextualSpacing w:val="0"/>
        <w:rPr>
          <w:rFonts w:ascii="Arial" w:hAnsi="Arial" w:cs="Arial"/>
          <w:color w:val="000000" w:themeColor="text1"/>
        </w:rPr>
      </w:pPr>
      <w:r w:rsidRPr="00D674DF">
        <w:rPr>
          <w:rFonts w:ascii="Arial" w:hAnsi="Arial" w:cs="Arial"/>
          <w:color w:val="000000" w:themeColor="text1"/>
        </w:rPr>
        <w:t>No error was demonstrated in relation to the primary judge’s finding that if, before the proceedings were instituted, the prosecution had been in possession of evidence of all the relevant facts then it would not have been unreasonable to institute the proceedings: [159].</w:t>
      </w:r>
    </w:p>
    <w:p w14:paraId="6D4141DF" w14:textId="0C334290" w:rsidR="005A7CA0" w:rsidRPr="00D674DF" w:rsidRDefault="005A7CA0" w:rsidP="00A03A03">
      <w:pPr>
        <w:pStyle w:val="Heading2"/>
        <w:snapToGrid w:val="0"/>
        <w:spacing w:before="240" w:after="240" w:line="360" w:lineRule="auto"/>
        <w:rPr>
          <w:color w:val="000000" w:themeColor="text1"/>
        </w:rPr>
      </w:pPr>
      <w:r w:rsidRPr="00D674DF">
        <w:rPr>
          <w:i/>
          <w:iCs/>
          <w:color w:val="000000" w:themeColor="text1"/>
        </w:rPr>
        <w:t>Rodden</w:t>
      </w:r>
      <w:r w:rsidRPr="00D674DF">
        <w:rPr>
          <w:color w:val="000000" w:themeColor="text1"/>
        </w:rPr>
        <w:t xml:space="preserve"> - </w:t>
      </w:r>
      <w:r w:rsidR="005C3FC0" w:rsidRPr="00D674DF">
        <w:rPr>
          <w:i/>
          <w:iCs/>
          <w:color w:val="000000" w:themeColor="text1"/>
        </w:rPr>
        <w:t xml:space="preserve">Case </w:t>
      </w:r>
      <w:r w:rsidRPr="00D674DF">
        <w:rPr>
          <w:i/>
          <w:iCs/>
          <w:color w:val="000000" w:themeColor="text1"/>
        </w:rPr>
        <w:t>Analysis</w:t>
      </w:r>
    </w:p>
    <w:p w14:paraId="7B940637" w14:textId="6275CBA5" w:rsidR="00A234E2" w:rsidRPr="00D674DF" w:rsidRDefault="00A234E2"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 xml:space="preserve">This decision </w:t>
      </w:r>
      <w:r w:rsidR="008569C1" w:rsidRPr="00D674DF">
        <w:rPr>
          <w:rFonts w:ascii="Arial" w:hAnsi="Arial" w:cs="Arial"/>
          <w:color w:val="000000" w:themeColor="text1"/>
        </w:rPr>
        <w:t>concerns</w:t>
      </w:r>
      <w:r w:rsidRPr="00D674DF">
        <w:rPr>
          <w:rFonts w:ascii="Arial" w:hAnsi="Arial" w:cs="Arial"/>
          <w:color w:val="000000" w:themeColor="text1"/>
        </w:rPr>
        <w:t xml:space="preserve"> to two separate applications. Both arise from a decision (the decision) of Fagan J to refuse the application of Mr Simon Rodden for a costs certificate under section 2 of the </w:t>
      </w:r>
      <w:r w:rsidRPr="00D674DF">
        <w:rPr>
          <w:rFonts w:ascii="Arial" w:hAnsi="Arial" w:cs="Arial"/>
          <w:i/>
          <w:iCs/>
          <w:color w:val="000000" w:themeColor="text1"/>
        </w:rPr>
        <w:t>Costs in Criminal Cases Act</w:t>
      </w:r>
      <w:r w:rsidRPr="00D674DF">
        <w:rPr>
          <w:rFonts w:ascii="Arial" w:hAnsi="Arial" w:cs="Arial"/>
          <w:color w:val="000000" w:themeColor="text1"/>
        </w:rPr>
        <w:t xml:space="preserve"> 1967 (NSW) (the </w:t>
      </w:r>
      <w:r w:rsidRPr="00D674DF">
        <w:rPr>
          <w:rFonts w:ascii="Arial" w:hAnsi="Arial" w:cs="Arial"/>
          <w:i/>
          <w:iCs/>
          <w:color w:val="000000" w:themeColor="text1"/>
        </w:rPr>
        <w:t>Act</w:t>
      </w:r>
      <w:r w:rsidRPr="00D674DF">
        <w:rPr>
          <w:rFonts w:ascii="Arial" w:hAnsi="Arial" w:cs="Arial"/>
          <w:color w:val="000000" w:themeColor="text1"/>
        </w:rPr>
        <w:t xml:space="preserve">): see </w:t>
      </w:r>
      <w:r w:rsidRPr="00D674DF">
        <w:rPr>
          <w:rFonts w:ascii="Arial" w:hAnsi="Arial" w:cs="Arial"/>
          <w:i/>
          <w:iCs/>
          <w:color w:val="000000" w:themeColor="text1"/>
        </w:rPr>
        <w:t>R v Rodden (Costs)</w:t>
      </w:r>
      <w:r w:rsidRPr="00D674DF">
        <w:rPr>
          <w:rFonts w:ascii="Arial" w:hAnsi="Arial" w:cs="Arial"/>
          <w:color w:val="000000" w:themeColor="text1"/>
        </w:rPr>
        <w:t xml:space="preserve"> [2022] NSWSC 1230.</w:t>
      </w:r>
    </w:p>
    <w:p w14:paraId="7786EDB4" w14:textId="55CC560B" w:rsidR="00847D80" w:rsidRPr="00D674DF" w:rsidRDefault="00847D80" w:rsidP="00A03A03">
      <w:pPr>
        <w:pStyle w:val="ListParagraph"/>
        <w:numPr>
          <w:ilvl w:val="1"/>
          <w:numId w:val="19"/>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 xml:space="preserve">The first of the applications (2019/00181340), filed in the Court of Criminal Appeal, is for leave to appeal from the decision pursuant to s 5F of the </w:t>
      </w:r>
      <w:r w:rsidRPr="00D674DF">
        <w:rPr>
          <w:rFonts w:ascii="Arial" w:hAnsi="Arial" w:cs="Arial"/>
          <w:i/>
          <w:iCs/>
          <w:color w:val="000000" w:themeColor="text1"/>
        </w:rPr>
        <w:t>Criminal Appeal Act</w:t>
      </w:r>
      <w:r w:rsidRPr="00D674DF">
        <w:rPr>
          <w:rFonts w:ascii="Arial" w:hAnsi="Arial" w:cs="Arial"/>
          <w:color w:val="000000" w:themeColor="text1"/>
        </w:rPr>
        <w:t xml:space="preserve"> 1912 (NSW). For this application to be competent, the decision must have the character of an “interlocutory judgment or order given or made in the proceedings” (in the language of s 5</w:t>
      </w:r>
      <w:proofErr w:type="gramStart"/>
      <w:r w:rsidRPr="00D674DF">
        <w:rPr>
          <w:rFonts w:ascii="Arial" w:hAnsi="Arial" w:cs="Arial"/>
          <w:color w:val="000000" w:themeColor="text1"/>
        </w:rPr>
        <w:t>F(</w:t>
      </w:r>
      <w:proofErr w:type="gramEnd"/>
      <w:r w:rsidRPr="00D674DF">
        <w:rPr>
          <w:rFonts w:ascii="Arial" w:hAnsi="Arial" w:cs="Arial"/>
          <w:color w:val="000000" w:themeColor="text1"/>
        </w:rPr>
        <w:t>3) of the Criminal Appeal Act) (the CCA proceeding). The Respondent to the s 5F application is the Crown.</w:t>
      </w:r>
    </w:p>
    <w:p w14:paraId="60040393" w14:textId="36D76732" w:rsidR="00063D57" w:rsidRPr="00D674DF" w:rsidRDefault="001502BD" w:rsidP="00A03A03">
      <w:pPr>
        <w:pStyle w:val="ListParagraph"/>
        <w:numPr>
          <w:ilvl w:val="1"/>
          <w:numId w:val="19"/>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The second application, brought by way of Amended Summons in the Court of Appeal (2023/109813), is for judicial review of the decision (the judicial review proceeding). This application is advanced in the alternative and on the basis that the decision was administrative in character, rather than judicial. This application seeks relief pursuant to s</w:t>
      </w:r>
      <w:r w:rsidR="0096523D" w:rsidRPr="00D674DF">
        <w:rPr>
          <w:rFonts w:ascii="Arial" w:hAnsi="Arial" w:cs="Arial"/>
          <w:color w:val="000000" w:themeColor="text1"/>
        </w:rPr>
        <w:t>ection</w:t>
      </w:r>
      <w:r w:rsidRPr="00D674DF">
        <w:rPr>
          <w:rFonts w:ascii="Arial" w:hAnsi="Arial" w:cs="Arial"/>
          <w:color w:val="000000" w:themeColor="text1"/>
        </w:rPr>
        <w:t xml:space="preserve"> 69 of the </w:t>
      </w:r>
      <w:r w:rsidRPr="00D674DF">
        <w:rPr>
          <w:rFonts w:ascii="Arial" w:hAnsi="Arial" w:cs="Arial"/>
          <w:i/>
          <w:iCs/>
          <w:color w:val="000000" w:themeColor="text1"/>
        </w:rPr>
        <w:t>Supreme Court Act</w:t>
      </w:r>
      <w:r w:rsidRPr="00D674DF">
        <w:rPr>
          <w:rFonts w:ascii="Arial" w:hAnsi="Arial" w:cs="Arial"/>
          <w:color w:val="000000" w:themeColor="text1"/>
        </w:rPr>
        <w:t xml:space="preserve"> 1970 (NSW). The Respondents to the Amended Summons are the Director of Public Prosecutions (the Director) and the Supreme Court itself (it will not be necessary to consider the correctness of the joinder of the latter).</w:t>
      </w:r>
    </w:p>
    <w:p w14:paraId="01EA28D2" w14:textId="449FBE07" w:rsidR="00DB77AA" w:rsidRPr="00D674DF" w:rsidRDefault="00993ACE"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lastRenderedPageBreak/>
        <w:t xml:space="preserve">The </w:t>
      </w:r>
      <w:r w:rsidR="009769B6" w:rsidRPr="00D674DF">
        <w:rPr>
          <w:rFonts w:ascii="Arial" w:hAnsi="Arial" w:cs="Arial"/>
          <w:color w:val="000000" w:themeColor="text1"/>
        </w:rPr>
        <w:t xml:space="preserve">NSWCCA </w:t>
      </w:r>
      <w:r w:rsidRPr="00D674DF">
        <w:rPr>
          <w:rFonts w:ascii="Arial" w:hAnsi="Arial" w:cs="Arial"/>
          <w:color w:val="000000" w:themeColor="text1"/>
        </w:rPr>
        <w:t>(</w:t>
      </w:r>
      <w:r w:rsidR="009769B6" w:rsidRPr="00D674DF">
        <w:rPr>
          <w:rFonts w:ascii="Arial" w:hAnsi="Arial" w:cs="Arial"/>
          <w:color w:val="000000" w:themeColor="text1"/>
        </w:rPr>
        <w:t>Bell</w:t>
      </w:r>
      <w:r w:rsidR="0067185C" w:rsidRPr="00D674DF">
        <w:rPr>
          <w:rFonts w:ascii="Arial" w:hAnsi="Arial" w:cs="Arial"/>
          <w:color w:val="000000" w:themeColor="text1"/>
        </w:rPr>
        <w:t xml:space="preserve"> CJ</w:t>
      </w:r>
      <w:r w:rsidR="009769B6" w:rsidRPr="00D674DF">
        <w:rPr>
          <w:rFonts w:ascii="Arial" w:hAnsi="Arial" w:cs="Arial"/>
          <w:color w:val="000000" w:themeColor="text1"/>
        </w:rPr>
        <w:t>, Leeming and Beech-Jones</w:t>
      </w:r>
      <w:r w:rsidR="0067185C" w:rsidRPr="00D674DF">
        <w:rPr>
          <w:rFonts w:ascii="Arial" w:hAnsi="Arial" w:cs="Arial"/>
          <w:color w:val="000000" w:themeColor="text1"/>
        </w:rPr>
        <w:t xml:space="preserve"> JJ)</w:t>
      </w:r>
      <w:r w:rsidR="009769B6" w:rsidRPr="00D674DF">
        <w:rPr>
          <w:rFonts w:ascii="Arial" w:hAnsi="Arial" w:cs="Arial"/>
          <w:color w:val="000000" w:themeColor="text1"/>
        </w:rPr>
        <w:t xml:space="preserve"> found that the function carried out by Fagan</w:t>
      </w:r>
      <w:r w:rsidR="0005112A" w:rsidRPr="00D674DF">
        <w:rPr>
          <w:rFonts w:ascii="Arial" w:hAnsi="Arial" w:cs="Arial"/>
          <w:color w:val="000000" w:themeColor="text1"/>
        </w:rPr>
        <w:t xml:space="preserve"> J</w:t>
      </w:r>
      <w:r w:rsidR="009769B6" w:rsidRPr="00D674DF">
        <w:rPr>
          <w:rFonts w:ascii="Arial" w:hAnsi="Arial" w:cs="Arial"/>
          <w:color w:val="000000" w:themeColor="text1"/>
        </w:rPr>
        <w:t xml:space="preserve"> in </w:t>
      </w:r>
      <w:r w:rsidR="0005112A" w:rsidRPr="00D674DF">
        <w:rPr>
          <w:rFonts w:ascii="Arial" w:hAnsi="Arial" w:cs="Arial"/>
          <w:color w:val="000000" w:themeColor="text1"/>
        </w:rPr>
        <w:t xml:space="preserve">declining </w:t>
      </w:r>
      <w:r w:rsidR="009769B6" w:rsidRPr="00D674DF">
        <w:rPr>
          <w:rFonts w:ascii="Arial" w:hAnsi="Arial" w:cs="Arial"/>
          <w:color w:val="000000" w:themeColor="text1"/>
        </w:rPr>
        <w:t>to issue a certificate was not administrative but rather a</w:t>
      </w:r>
      <w:r w:rsidR="009769B6" w:rsidRPr="00D674DF">
        <w:rPr>
          <w:rFonts w:ascii="Arial" w:hAnsi="Arial" w:cs="Arial"/>
          <w:b/>
          <w:bCs/>
          <w:color w:val="000000" w:themeColor="text1"/>
        </w:rPr>
        <w:t xml:space="preserve"> judicial power</w:t>
      </w:r>
      <w:r w:rsidR="009769B6" w:rsidRPr="00D674DF">
        <w:rPr>
          <w:rFonts w:ascii="Arial" w:hAnsi="Arial" w:cs="Arial"/>
          <w:color w:val="000000" w:themeColor="text1"/>
        </w:rPr>
        <w:t xml:space="preserve"> that required an appeal to be heard in the criminal jurisdiction.</w:t>
      </w:r>
      <w:r w:rsidR="00380ABD" w:rsidRPr="00D674DF">
        <w:rPr>
          <w:rFonts w:ascii="Arial" w:hAnsi="Arial" w:cs="Arial"/>
          <w:color w:val="000000" w:themeColor="text1"/>
        </w:rPr>
        <w:t xml:space="preserve">  </w:t>
      </w:r>
      <w:r w:rsidR="00615E7E" w:rsidRPr="00D674DF">
        <w:rPr>
          <w:rFonts w:ascii="Arial" w:hAnsi="Arial" w:cs="Arial"/>
          <w:color w:val="000000" w:themeColor="text1"/>
        </w:rPr>
        <w:t>The Court of Appeal lacked jurisdiction to quash his Honour’s decision by a grant of certiorari</w:t>
      </w:r>
      <w:r w:rsidR="003448A1" w:rsidRPr="00D674DF">
        <w:rPr>
          <w:rFonts w:ascii="Arial" w:hAnsi="Arial" w:cs="Arial"/>
          <w:color w:val="000000" w:themeColor="text1"/>
        </w:rPr>
        <w:t xml:space="preserve">: </w:t>
      </w:r>
      <w:r w:rsidR="003448A1" w:rsidRPr="00D674DF">
        <w:rPr>
          <w:rFonts w:ascii="Arial" w:hAnsi="Arial" w:cs="Arial"/>
          <w:i/>
          <w:iCs/>
          <w:color w:val="000000" w:themeColor="text1"/>
        </w:rPr>
        <w:t>Rodden</w:t>
      </w:r>
      <w:r w:rsidR="003448A1" w:rsidRPr="00D674DF">
        <w:rPr>
          <w:rFonts w:ascii="Arial" w:hAnsi="Arial" w:cs="Arial"/>
          <w:color w:val="000000" w:themeColor="text1"/>
        </w:rPr>
        <w:t xml:space="preserve"> at [72]</w:t>
      </w:r>
      <w:r w:rsidR="00E515EA" w:rsidRPr="00D674DF">
        <w:rPr>
          <w:rFonts w:ascii="Arial" w:hAnsi="Arial" w:cs="Arial"/>
          <w:color w:val="000000" w:themeColor="text1"/>
        </w:rPr>
        <w:t>.</w:t>
      </w:r>
    </w:p>
    <w:p w14:paraId="6245F41D" w14:textId="7F24450A" w:rsidR="00346D71" w:rsidRPr="00D674DF" w:rsidRDefault="00DB77AA"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 xml:space="preserve">Further, </w:t>
      </w:r>
      <w:r w:rsidR="00C2727A" w:rsidRPr="00D674DF">
        <w:rPr>
          <w:rFonts w:ascii="Arial" w:hAnsi="Arial" w:cs="Arial"/>
          <w:color w:val="000000" w:themeColor="text1"/>
        </w:rPr>
        <w:t xml:space="preserve">and </w:t>
      </w:r>
      <w:r w:rsidRPr="00D674DF">
        <w:rPr>
          <w:rFonts w:ascii="Arial" w:hAnsi="Arial" w:cs="Arial"/>
          <w:color w:val="000000" w:themeColor="text1"/>
        </w:rPr>
        <w:t>contrary to</w:t>
      </w:r>
      <w:r w:rsidR="0013603B" w:rsidRPr="00D674DF">
        <w:rPr>
          <w:rFonts w:ascii="Arial" w:hAnsi="Arial" w:cs="Arial"/>
          <w:color w:val="000000" w:themeColor="text1"/>
        </w:rPr>
        <w:t xml:space="preserve"> Crown’s submission, the </w:t>
      </w:r>
      <w:r w:rsidR="003E0B73" w:rsidRPr="00D674DF">
        <w:rPr>
          <w:rFonts w:ascii="Arial" w:hAnsi="Arial" w:cs="Arial"/>
          <w:color w:val="000000" w:themeColor="text1"/>
        </w:rPr>
        <w:t>Court</w:t>
      </w:r>
      <w:r w:rsidR="0013603B" w:rsidRPr="00D674DF">
        <w:rPr>
          <w:rFonts w:ascii="Arial" w:hAnsi="Arial" w:cs="Arial"/>
          <w:color w:val="000000" w:themeColor="text1"/>
        </w:rPr>
        <w:t xml:space="preserve"> found</w:t>
      </w:r>
      <w:r w:rsidR="00184B43" w:rsidRPr="00D674DF">
        <w:rPr>
          <w:rFonts w:ascii="Arial" w:hAnsi="Arial" w:cs="Arial"/>
          <w:color w:val="000000" w:themeColor="text1"/>
        </w:rPr>
        <w:t xml:space="preserve"> the order dismissing Mr Rodden’s costs application was an interlocutory order made in criminal proceedings within the meaning of s</w:t>
      </w:r>
      <w:r w:rsidR="0090655F" w:rsidRPr="00D674DF">
        <w:rPr>
          <w:rFonts w:ascii="Arial" w:hAnsi="Arial" w:cs="Arial"/>
          <w:color w:val="000000" w:themeColor="text1"/>
        </w:rPr>
        <w:t xml:space="preserve"> 5F of the </w:t>
      </w:r>
      <w:r w:rsidR="0090655F" w:rsidRPr="00D674DF">
        <w:rPr>
          <w:rFonts w:ascii="Arial" w:hAnsi="Arial" w:cs="Arial"/>
          <w:i/>
          <w:iCs/>
          <w:color w:val="000000" w:themeColor="text1"/>
        </w:rPr>
        <w:t>Criminal Appeal Act 1912</w:t>
      </w:r>
      <w:r w:rsidR="0090655F" w:rsidRPr="00D674DF">
        <w:rPr>
          <w:rFonts w:ascii="Arial" w:hAnsi="Arial" w:cs="Arial"/>
          <w:color w:val="000000" w:themeColor="text1"/>
        </w:rPr>
        <w:t>.</w:t>
      </w:r>
    </w:p>
    <w:p w14:paraId="75137D2B" w14:textId="4ADF6680" w:rsidR="00346D71" w:rsidRPr="00D674DF" w:rsidRDefault="007D4FE6" w:rsidP="00A03A03">
      <w:pPr>
        <w:snapToGrid w:val="0"/>
        <w:spacing w:before="240" w:after="240" w:line="360" w:lineRule="auto"/>
        <w:rPr>
          <w:rFonts w:ascii="Arial" w:hAnsi="Arial" w:cs="Arial"/>
          <w:color w:val="000000" w:themeColor="text1"/>
          <w:u w:val="single"/>
        </w:rPr>
      </w:pPr>
      <w:r w:rsidRPr="00D674DF">
        <w:rPr>
          <w:rFonts w:ascii="Arial" w:hAnsi="Arial" w:cs="Arial"/>
          <w:color w:val="000000" w:themeColor="text1"/>
          <w:u w:val="single"/>
        </w:rPr>
        <w:t>The primary</w:t>
      </w:r>
      <w:r w:rsidR="000F20D8" w:rsidRPr="00D674DF">
        <w:rPr>
          <w:rFonts w:ascii="Arial" w:hAnsi="Arial" w:cs="Arial"/>
          <w:color w:val="000000" w:themeColor="text1"/>
          <w:u w:val="single"/>
        </w:rPr>
        <w:t xml:space="preserve"> </w:t>
      </w:r>
      <w:r w:rsidRPr="00D674DF">
        <w:rPr>
          <w:rFonts w:ascii="Arial" w:hAnsi="Arial" w:cs="Arial"/>
          <w:color w:val="000000" w:themeColor="text1"/>
          <w:u w:val="single"/>
        </w:rPr>
        <w:t>judge</w:t>
      </w:r>
      <w:r w:rsidR="000F20D8" w:rsidRPr="00D674DF">
        <w:rPr>
          <w:rFonts w:ascii="Arial" w:hAnsi="Arial" w:cs="Arial"/>
          <w:color w:val="000000" w:themeColor="text1"/>
          <w:u w:val="single"/>
        </w:rPr>
        <w:t>’s reasons</w:t>
      </w:r>
    </w:p>
    <w:p w14:paraId="560F5E0C" w14:textId="53799B3D" w:rsidR="00A71A4F" w:rsidRPr="00D674DF" w:rsidRDefault="00A71A4F"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Following acquittal and prior to the hearing of the N</w:t>
      </w:r>
      <w:r w:rsidR="00E23235" w:rsidRPr="00D674DF">
        <w:rPr>
          <w:rFonts w:ascii="Arial" w:hAnsi="Arial" w:cs="Arial"/>
          <w:color w:val="000000" w:themeColor="text1"/>
        </w:rPr>
        <w:t xml:space="preserve">otice </w:t>
      </w:r>
      <w:r w:rsidRPr="00D674DF">
        <w:rPr>
          <w:rFonts w:ascii="Arial" w:hAnsi="Arial" w:cs="Arial"/>
          <w:color w:val="000000" w:themeColor="text1"/>
        </w:rPr>
        <w:t>o</w:t>
      </w:r>
      <w:r w:rsidR="00E23235" w:rsidRPr="00D674DF">
        <w:rPr>
          <w:rFonts w:ascii="Arial" w:hAnsi="Arial" w:cs="Arial"/>
          <w:color w:val="000000" w:themeColor="text1"/>
        </w:rPr>
        <w:t xml:space="preserve">f </w:t>
      </w:r>
      <w:r w:rsidRPr="00D674DF">
        <w:rPr>
          <w:rFonts w:ascii="Arial" w:hAnsi="Arial" w:cs="Arial"/>
          <w:color w:val="000000" w:themeColor="text1"/>
        </w:rPr>
        <w:t>M</w:t>
      </w:r>
      <w:r w:rsidR="00E23235" w:rsidRPr="00D674DF">
        <w:rPr>
          <w:rFonts w:ascii="Arial" w:hAnsi="Arial" w:cs="Arial"/>
          <w:color w:val="000000" w:themeColor="text1"/>
        </w:rPr>
        <w:t>otion</w:t>
      </w:r>
      <w:r w:rsidRPr="00D674DF">
        <w:rPr>
          <w:rFonts w:ascii="Arial" w:hAnsi="Arial" w:cs="Arial"/>
          <w:color w:val="000000" w:themeColor="text1"/>
        </w:rPr>
        <w:t xml:space="preserve">, </w:t>
      </w:r>
      <w:r w:rsidR="004420F4" w:rsidRPr="00D674DF">
        <w:rPr>
          <w:rFonts w:ascii="Arial" w:hAnsi="Arial" w:cs="Arial"/>
          <w:color w:val="000000" w:themeColor="text1"/>
        </w:rPr>
        <w:t xml:space="preserve">the primary judge </w:t>
      </w:r>
      <w:r w:rsidRPr="00D674DF">
        <w:rPr>
          <w:rFonts w:ascii="Arial" w:hAnsi="Arial" w:cs="Arial"/>
          <w:color w:val="000000" w:themeColor="text1"/>
        </w:rPr>
        <w:t>expressed a preliminary view that he was “extremely doubtful” a certificate could be granted to an accused person who had been acquitted and whose defence had been fully funded by legal aid.</w:t>
      </w:r>
    </w:p>
    <w:p w14:paraId="298166B1" w14:textId="2BD82049" w:rsidR="00A71A4F" w:rsidRPr="00D674DF" w:rsidRDefault="00A71A4F"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Ultimately, his Honour did not deviate from that preliminary view.</w:t>
      </w:r>
    </w:p>
    <w:p w14:paraId="063CF2A5" w14:textId="04678938" w:rsidR="00A71A4F" w:rsidRPr="00D674DF" w:rsidRDefault="001159E2"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The primary judge</w:t>
      </w:r>
      <w:r w:rsidR="00A71A4F" w:rsidRPr="00D674DF">
        <w:rPr>
          <w:rFonts w:ascii="Arial" w:hAnsi="Arial" w:cs="Arial"/>
          <w:color w:val="000000" w:themeColor="text1"/>
        </w:rPr>
        <w:t xml:space="preserve"> began his reasons by setting out the relevant provisions of the Costs Act and noting Mr Rodden had received a grant of legal aid pursuant to s. 34 of the LAC Act which was not the subject to any condition requiring the applicant to make a financial contribution to his own defence.</w:t>
      </w:r>
    </w:p>
    <w:p w14:paraId="7B10B6E4" w14:textId="28F107FC" w:rsidR="00A71A4F" w:rsidRPr="00D674DF" w:rsidRDefault="00A71A4F"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Having recognised the statutory task to be applied in s. 3(1)(a)-(b) of the Costs Act, his Honour noted:</w:t>
      </w:r>
    </w:p>
    <w:p w14:paraId="395DA8B1" w14:textId="517ADF62" w:rsidR="00A71A4F" w:rsidRPr="00D674DF" w:rsidRDefault="00A71A4F" w:rsidP="00A03A03">
      <w:pPr>
        <w:pStyle w:val="ListParagraph"/>
        <w:tabs>
          <w:tab w:val="left" w:pos="1134"/>
        </w:tabs>
        <w:snapToGrid w:val="0"/>
        <w:spacing w:before="240" w:after="240" w:line="360" w:lineRule="auto"/>
        <w:ind w:left="1134"/>
        <w:contextualSpacing w:val="0"/>
        <w:rPr>
          <w:rFonts w:ascii="Arial" w:hAnsi="Arial" w:cs="Arial"/>
          <w:color w:val="000000" w:themeColor="text1"/>
          <w:sz w:val="21"/>
          <w:szCs w:val="21"/>
        </w:rPr>
      </w:pPr>
      <w:r w:rsidRPr="00D674DF">
        <w:rPr>
          <w:rFonts w:ascii="Arial" w:hAnsi="Arial" w:cs="Arial"/>
          <w:color w:val="000000" w:themeColor="text1"/>
          <w:sz w:val="21"/>
          <w:szCs w:val="21"/>
        </w:rPr>
        <w:t xml:space="preserve">“The Court is not required to determine how the Director-General should deal with the application under s 4 that would follow upon the grant of a certificate. However, it is strikingly incongruous that the certificate is being sought by the Commission </w:t>
      </w:r>
      <w:proofErr w:type="gramStart"/>
      <w:r w:rsidRPr="00D674DF">
        <w:rPr>
          <w:rFonts w:ascii="Arial" w:hAnsi="Arial" w:cs="Arial"/>
          <w:color w:val="000000" w:themeColor="text1"/>
          <w:sz w:val="21"/>
          <w:szCs w:val="21"/>
        </w:rPr>
        <w:t>in order to</w:t>
      </w:r>
      <w:proofErr w:type="gramEnd"/>
      <w:r w:rsidRPr="00D674DF">
        <w:rPr>
          <w:rFonts w:ascii="Arial" w:hAnsi="Arial" w:cs="Arial"/>
          <w:color w:val="000000" w:themeColor="text1"/>
          <w:sz w:val="21"/>
          <w:szCs w:val="21"/>
        </w:rPr>
        <w:t xml:space="preserve"> pursue payment out of public funds of the amount of costs incurred on behalf Mr Rodden, where those costs have already been publicly funded. As can be seen from s 63 of the</w:t>
      </w:r>
      <w:r w:rsidRPr="00D674DF">
        <w:rPr>
          <w:rStyle w:val="apple-converted-space"/>
          <w:rFonts w:ascii="Arial" w:hAnsi="Arial" w:cs="Arial"/>
          <w:color w:val="000000" w:themeColor="text1"/>
          <w:sz w:val="21"/>
          <w:szCs w:val="21"/>
        </w:rPr>
        <w:t> </w:t>
      </w:r>
      <w:r w:rsidRPr="00D674DF">
        <w:rPr>
          <w:rStyle w:val="Emphasis"/>
          <w:rFonts w:ascii="Arial" w:hAnsi="Arial" w:cs="Arial"/>
          <w:color w:val="000000" w:themeColor="text1"/>
          <w:sz w:val="21"/>
          <w:szCs w:val="21"/>
        </w:rPr>
        <w:t>Legal Aid Commission Act</w:t>
      </w:r>
      <w:r w:rsidRPr="00D674DF">
        <w:rPr>
          <w:rFonts w:ascii="Arial" w:hAnsi="Arial" w:cs="Arial"/>
          <w:color w:val="000000" w:themeColor="text1"/>
          <w:sz w:val="21"/>
          <w:szCs w:val="21"/>
        </w:rPr>
        <w:t>, the money in the Legal Aid Fund that has been drawn upon by the Commission to pay for Mr Rodden’s defence is supplied mainly from the State’s general revenue. The machinery of the</w:t>
      </w:r>
      <w:r w:rsidRPr="00D674DF">
        <w:rPr>
          <w:rStyle w:val="apple-converted-space"/>
          <w:rFonts w:ascii="Arial" w:hAnsi="Arial" w:cs="Arial"/>
          <w:color w:val="000000" w:themeColor="text1"/>
          <w:sz w:val="21"/>
          <w:szCs w:val="21"/>
        </w:rPr>
        <w:t> </w:t>
      </w:r>
      <w:r w:rsidRPr="00D674DF">
        <w:rPr>
          <w:rStyle w:val="Emphasis"/>
          <w:rFonts w:ascii="Arial" w:hAnsi="Arial" w:cs="Arial"/>
          <w:color w:val="000000" w:themeColor="text1"/>
          <w:sz w:val="21"/>
          <w:szCs w:val="21"/>
        </w:rPr>
        <w:t>Costs in Criminal Cases Act</w:t>
      </w:r>
      <w:r w:rsidRPr="00D674DF">
        <w:rPr>
          <w:rStyle w:val="apple-converted-space"/>
          <w:rFonts w:ascii="Arial" w:hAnsi="Arial" w:cs="Arial"/>
          <w:color w:val="000000" w:themeColor="text1"/>
          <w:sz w:val="21"/>
          <w:szCs w:val="21"/>
        </w:rPr>
        <w:t> </w:t>
      </w:r>
      <w:r w:rsidRPr="00D674DF">
        <w:rPr>
          <w:rFonts w:ascii="Arial" w:hAnsi="Arial" w:cs="Arial"/>
          <w:color w:val="000000" w:themeColor="text1"/>
          <w:sz w:val="21"/>
          <w:szCs w:val="21"/>
        </w:rPr>
        <w:t>is being invoked in this case to obtain from public funds, a second time, the one outlay of defence costs.”</w:t>
      </w:r>
    </w:p>
    <w:p w14:paraId="57E921FB" w14:textId="68296CEF" w:rsidR="00A71A4F" w:rsidRPr="00D674DF" w:rsidRDefault="00E43A42" w:rsidP="00FC0330">
      <w:pPr>
        <w:pStyle w:val="ListParagraph"/>
        <w:numPr>
          <w:ilvl w:val="0"/>
          <w:numId w:val="1"/>
        </w:numPr>
        <w:tabs>
          <w:tab w:val="left" w:pos="1134"/>
        </w:tabs>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lastRenderedPageBreak/>
        <w:t>A</w:t>
      </w:r>
      <w:r w:rsidR="0097328A" w:rsidRPr="00D674DF">
        <w:rPr>
          <w:rFonts w:ascii="Arial" w:hAnsi="Arial" w:cs="Arial"/>
          <w:color w:val="000000" w:themeColor="text1"/>
        </w:rPr>
        <w:t xml:space="preserve">ccording </w:t>
      </w:r>
      <w:r w:rsidR="00850209" w:rsidRPr="00D674DF">
        <w:rPr>
          <w:rFonts w:ascii="Arial" w:hAnsi="Arial" w:cs="Arial"/>
          <w:color w:val="000000" w:themeColor="text1"/>
        </w:rPr>
        <w:t xml:space="preserve">to </w:t>
      </w:r>
      <w:r w:rsidR="0097328A" w:rsidRPr="00D674DF">
        <w:rPr>
          <w:rFonts w:ascii="Arial" w:hAnsi="Arial" w:cs="Arial"/>
          <w:color w:val="000000" w:themeColor="text1"/>
        </w:rPr>
        <w:t xml:space="preserve">the primary judge, </w:t>
      </w:r>
      <w:r w:rsidR="00A71A4F" w:rsidRPr="00D674DF">
        <w:rPr>
          <w:rFonts w:ascii="Arial" w:hAnsi="Arial" w:cs="Arial"/>
          <w:color w:val="000000" w:themeColor="text1"/>
        </w:rPr>
        <w:t>there was a fundamental flaw in Mr Rodden’s application (and indeed every costs application by a person whose defence is funded by a grant of legal aid):</w:t>
      </w:r>
    </w:p>
    <w:p w14:paraId="40548F3C" w14:textId="1400C33C" w:rsidR="00A71A4F" w:rsidRPr="00D674DF" w:rsidRDefault="00A71A4F" w:rsidP="00A03A03">
      <w:pPr>
        <w:pStyle w:val="ListParagraph"/>
        <w:snapToGrid w:val="0"/>
        <w:spacing w:before="240" w:after="240" w:line="360" w:lineRule="auto"/>
        <w:ind w:left="1134"/>
        <w:contextualSpacing w:val="0"/>
        <w:rPr>
          <w:rFonts w:ascii="Arial" w:hAnsi="Arial" w:cs="Arial"/>
          <w:color w:val="000000" w:themeColor="text1"/>
          <w:sz w:val="21"/>
          <w:szCs w:val="21"/>
        </w:rPr>
      </w:pPr>
      <w:r w:rsidRPr="00D674DF">
        <w:rPr>
          <w:rFonts w:ascii="Arial" w:hAnsi="Arial" w:cs="Arial"/>
          <w:color w:val="000000" w:themeColor="text1"/>
          <w:sz w:val="21"/>
          <w:szCs w:val="21"/>
        </w:rPr>
        <w:t>“These considerations warrant an examination of s 4 of the</w:t>
      </w:r>
      <w:r w:rsidRPr="00D674DF">
        <w:rPr>
          <w:rStyle w:val="apple-converted-space"/>
          <w:rFonts w:ascii="Arial" w:hAnsi="Arial" w:cs="Arial"/>
          <w:color w:val="000000" w:themeColor="text1"/>
          <w:sz w:val="21"/>
          <w:szCs w:val="21"/>
        </w:rPr>
        <w:t> </w:t>
      </w:r>
      <w:r w:rsidRPr="00D674DF">
        <w:rPr>
          <w:rStyle w:val="Emphasis"/>
          <w:rFonts w:ascii="Arial" w:hAnsi="Arial" w:cs="Arial"/>
          <w:color w:val="000000" w:themeColor="text1"/>
          <w:sz w:val="21"/>
          <w:szCs w:val="21"/>
        </w:rPr>
        <w:t>Costs in Criminal Cases Act</w:t>
      </w:r>
      <w:r w:rsidRPr="00D674DF">
        <w:rPr>
          <w:rStyle w:val="apple-converted-space"/>
          <w:rFonts w:ascii="Arial" w:hAnsi="Arial" w:cs="Arial"/>
          <w:color w:val="000000" w:themeColor="text1"/>
          <w:sz w:val="21"/>
          <w:szCs w:val="21"/>
        </w:rPr>
        <w:t> </w:t>
      </w:r>
      <w:r w:rsidRPr="00D674DF">
        <w:rPr>
          <w:rFonts w:ascii="Arial" w:hAnsi="Arial" w:cs="Arial"/>
          <w:color w:val="000000" w:themeColor="text1"/>
          <w:sz w:val="21"/>
          <w:szCs w:val="21"/>
        </w:rPr>
        <w:t xml:space="preserve">to ascertain whether it is the intention of Parliament that the Court should hear and determine a claim, in substance by the Legal Aid Commission although in the name of the successful defendant, in such circumstances. </w:t>
      </w:r>
      <w:r w:rsidRPr="00D674DF">
        <w:rPr>
          <w:rFonts w:ascii="Arial" w:hAnsi="Arial" w:cs="Arial"/>
          <w:b/>
          <w:bCs/>
          <w:color w:val="000000" w:themeColor="text1"/>
          <w:sz w:val="21"/>
          <w:szCs w:val="21"/>
        </w:rPr>
        <w:t xml:space="preserve">The issue of a certificate, if subsequently acted upon by the Director-General, would merely lead to churning of funds between public accounts. Given that </w:t>
      </w:r>
      <w:proofErr w:type="gramStart"/>
      <w:r w:rsidRPr="00D674DF">
        <w:rPr>
          <w:rFonts w:ascii="Arial" w:hAnsi="Arial" w:cs="Arial"/>
          <w:b/>
          <w:bCs/>
          <w:color w:val="000000" w:themeColor="text1"/>
          <w:sz w:val="21"/>
          <w:szCs w:val="21"/>
        </w:rPr>
        <w:t>end result</w:t>
      </w:r>
      <w:proofErr w:type="gramEnd"/>
      <w:r w:rsidRPr="00D674DF">
        <w:rPr>
          <w:rFonts w:ascii="Arial" w:hAnsi="Arial" w:cs="Arial"/>
          <w:b/>
          <w:bCs/>
          <w:color w:val="000000" w:themeColor="text1"/>
          <w:sz w:val="21"/>
          <w:szCs w:val="21"/>
        </w:rPr>
        <w:t>, litigation of the issues under s 3 upon which the grant or refusal of a certificate depends, concerning whether prosecution of the charge was reasonable, appears to be a misallocation of the public resources of the Legal Aid Commission, the Director of Public Prosecutions and the Court.</w:t>
      </w:r>
      <w:r w:rsidRPr="00D674DF">
        <w:rPr>
          <w:rFonts w:ascii="Arial" w:hAnsi="Arial" w:cs="Arial"/>
          <w:color w:val="000000" w:themeColor="text1"/>
          <w:sz w:val="21"/>
          <w:szCs w:val="21"/>
        </w:rPr>
        <w:t xml:space="preserve"> For reasons that follow, I do not consider that the Court’s discretion under s 2 of the Costs in Criminal Cases Act should be exercised to issue a certificate in these circumstances. That conclusion follows from my interpretation of s 4, in which the Act prescribes how the Director-General must respond to an application for payment out of the Consolidated Fund.”</w:t>
      </w:r>
    </w:p>
    <w:p w14:paraId="508B45AC" w14:textId="143BCFE7" w:rsidR="00A71A4F" w:rsidRPr="00D674DF" w:rsidRDefault="00A71A4F"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 xml:space="preserve">The significance </w:t>
      </w:r>
      <w:r w:rsidR="00D04E99" w:rsidRPr="00D674DF">
        <w:rPr>
          <w:rFonts w:ascii="Arial" w:hAnsi="Arial" w:cs="Arial"/>
          <w:color w:val="000000" w:themeColor="text1"/>
        </w:rPr>
        <w:t>the primary judge’s</w:t>
      </w:r>
      <w:r w:rsidRPr="00D674DF">
        <w:rPr>
          <w:rFonts w:ascii="Arial" w:hAnsi="Arial" w:cs="Arial"/>
          <w:color w:val="000000" w:themeColor="text1"/>
        </w:rPr>
        <w:t xml:space="preserve"> reasoning was recognised by the </w:t>
      </w:r>
      <w:r w:rsidR="003E0B73" w:rsidRPr="00D674DF">
        <w:rPr>
          <w:rFonts w:ascii="Arial" w:hAnsi="Arial" w:cs="Arial"/>
          <w:color w:val="000000" w:themeColor="text1"/>
        </w:rPr>
        <w:t>CCA</w:t>
      </w:r>
      <w:r w:rsidR="00E23235" w:rsidRPr="00D674DF">
        <w:rPr>
          <w:rFonts w:ascii="Arial" w:hAnsi="Arial" w:cs="Arial"/>
          <w:color w:val="000000" w:themeColor="text1"/>
        </w:rPr>
        <w:t>:</w:t>
      </w:r>
    </w:p>
    <w:p w14:paraId="434A99E4" w14:textId="6DEC6106" w:rsidR="00A71A4F" w:rsidRPr="00D674DF" w:rsidRDefault="00A71A4F" w:rsidP="00A03A03">
      <w:pPr>
        <w:pStyle w:val="ListParagraph"/>
        <w:tabs>
          <w:tab w:val="left" w:pos="1134"/>
        </w:tabs>
        <w:snapToGrid w:val="0"/>
        <w:spacing w:before="240" w:after="240" w:line="360" w:lineRule="auto"/>
        <w:ind w:left="1134"/>
        <w:contextualSpacing w:val="0"/>
        <w:rPr>
          <w:rFonts w:ascii="Arial" w:hAnsi="Arial" w:cs="Arial"/>
          <w:color w:val="000000" w:themeColor="text1"/>
          <w:sz w:val="21"/>
          <w:szCs w:val="21"/>
        </w:rPr>
      </w:pPr>
      <w:r w:rsidRPr="00D674DF">
        <w:rPr>
          <w:rFonts w:ascii="Arial" w:hAnsi="Arial" w:cs="Arial"/>
          <w:color w:val="000000" w:themeColor="text1"/>
          <w:sz w:val="21"/>
          <w:szCs w:val="21"/>
        </w:rPr>
        <w:t xml:space="preserve">The effect of this reasoning was to foreclose a positive exercise of discretion in favour of the grant of a certificate in respect of </w:t>
      </w:r>
      <w:proofErr w:type="gramStart"/>
      <w:r w:rsidRPr="00D674DF">
        <w:rPr>
          <w:rFonts w:ascii="Arial" w:hAnsi="Arial" w:cs="Arial"/>
          <w:color w:val="000000" w:themeColor="text1"/>
          <w:sz w:val="21"/>
          <w:szCs w:val="21"/>
        </w:rPr>
        <w:t>any an</w:t>
      </w:r>
      <w:r w:rsidR="0022314F" w:rsidRPr="00D674DF">
        <w:rPr>
          <w:rFonts w:ascii="Arial" w:hAnsi="Arial" w:cs="Arial"/>
          <w:color w:val="000000" w:themeColor="text1"/>
          <w:sz w:val="21"/>
          <w:szCs w:val="21"/>
        </w:rPr>
        <w:t>d</w:t>
      </w:r>
      <w:r w:rsidRPr="00D674DF">
        <w:rPr>
          <w:rFonts w:ascii="Arial" w:hAnsi="Arial" w:cs="Arial"/>
          <w:color w:val="000000" w:themeColor="text1"/>
          <w:sz w:val="21"/>
          <w:szCs w:val="21"/>
        </w:rPr>
        <w:t xml:space="preserve"> all</w:t>
      </w:r>
      <w:proofErr w:type="gramEnd"/>
      <w:r w:rsidRPr="00D674DF">
        <w:rPr>
          <w:rFonts w:ascii="Arial" w:hAnsi="Arial" w:cs="Arial"/>
          <w:color w:val="000000" w:themeColor="text1"/>
          <w:sz w:val="21"/>
          <w:szCs w:val="21"/>
        </w:rPr>
        <w:t xml:space="preserve"> applications made for or on behalf of a recipient of legal aid who is acquitted and who was fully funded in his or her defence</w:t>
      </w:r>
      <w:r w:rsidR="00526580" w:rsidRPr="00D674DF">
        <w:rPr>
          <w:rFonts w:ascii="Arial" w:hAnsi="Arial" w:cs="Arial"/>
          <w:color w:val="000000" w:themeColor="text1"/>
          <w:sz w:val="21"/>
          <w:szCs w:val="21"/>
        </w:rPr>
        <w:t xml:space="preserve">: </w:t>
      </w:r>
      <w:r w:rsidR="00526580" w:rsidRPr="00D674DF">
        <w:rPr>
          <w:rFonts w:ascii="Arial" w:hAnsi="Arial" w:cs="Arial"/>
          <w:i/>
          <w:iCs/>
          <w:color w:val="000000" w:themeColor="text1"/>
          <w:sz w:val="21"/>
          <w:szCs w:val="21"/>
        </w:rPr>
        <w:t>Rodden</w:t>
      </w:r>
      <w:r w:rsidR="00526580" w:rsidRPr="00D674DF">
        <w:rPr>
          <w:rFonts w:ascii="Arial" w:hAnsi="Arial" w:cs="Arial"/>
          <w:color w:val="000000" w:themeColor="text1"/>
          <w:sz w:val="21"/>
          <w:szCs w:val="21"/>
        </w:rPr>
        <w:t xml:space="preserve"> at [50].</w:t>
      </w:r>
    </w:p>
    <w:p w14:paraId="2BB542F6" w14:textId="640E24C6" w:rsidR="00312879" w:rsidRPr="00D674DF" w:rsidRDefault="00A71A4F"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 xml:space="preserve">It might be noted that this conclusion – that an applicant who was fully funded by legal aid did not, could not and would never have any liability in respect of costs, and therefore that the statutory officer referred to in s. 4 of the Costs Act </w:t>
      </w:r>
      <w:r w:rsidRPr="00D674DF">
        <w:rPr>
          <w:rFonts w:ascii="Arial" w:hAnsi="Arial" w:cs="Arial"/>
          <w:i/>
          <w:iCs/>
          <w:color w:val="000000" w:themeColor="text1"/>
        </w:rPr>
        <w:t>could never</w:t>
      </w:r>
      <w:r w:rsidRPr="00D674DF">
        <w:rPr>
          <w:rFonts w:ascii="Arial" w:hAnsi="Arial" w:cs="Arial"/>
          <w:color w:val="000000" w:themeColor="text1"/>
        </w:rPr>
        <w:t xml:space="preserve"> exercise their discretion to award costs – was not one contended for by the Crown. </w:t>
      </w:r>
    </w:p>
    <w:p w14:paraId="06489152" w14:textId="6696C378" w:rsidR="000F20D8" w:rsidRPr="00D674DF" w:rsidRDefault="000F20D8" w:rsidP="00A03A03">
      <w:pPr>
        <w:snapToGrid w:val="0"/>
        <w:spacing w:before="240" w:after="240" w:line="360" w:lineRule="auto"/>
        <w:rPr>
          <w:rFonts w:ascii="Arial" w:hAnsi="Arial" w:cs="Arial"/>
          <w:color w:val="000000" w:themeColor="text1"/>
          <w:u w:val="single"/>
        </w:rPr>
      </w:pPr>
      <w:r w:rsidRPr="00D674DF">
        <w:rPr>
          <w:rFonts w:ascii="Arial" w:hAnsi="Arial" w:cs="Arial"/>
          <w:color w:val="000000" w:themeColor="text1"/>
          <w:u w:val="single"/>
        </w:rPr>
        <w:t xml:space="preserve">The </w:t>
      </w:r>
      <w:r w:rsidR="00837D7C" w:rsidRPr="00D674DF">
        <w:rPr>
          <w:rFonts w:ascii="Arial" w:hAnsi="Arial" w:cs="Arial"/>
          <w:color w:val="000000" w:themeColor="text1"/>
          <w:u w:val="single"/>
        </w:rPr>
        <w:t>Court of Criminal Appeal’s</w:t>
      </w:r>
      <w:r w:rsidRPr="00D674DF">
        <w:rPr>
          <w:rFonts w:ascii="Arial" w:hAnsi="Arial" w:cs="Arial"/>
          <w:color w:val="000000" w:themeColor="text1"/>
          <w:u w:val="single"/>
        </w:rPr>
        <w:t xml:space="preserve"> reasons</w:t>
      </w:r>
    </w:p>
    <w:p w14:paraId="305FCB65" w14:textId="184E1F73" w:rsidR="00626112" w:rsidRPr="00D674DF" w:rsidRDefault="00626112"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Mr Rodden’s appeal contended that</w:t>
      </w:r>
      <w:r w:rsidR="00F91CB3" w:rsidRPr="00D674DF">
        <w:rPr>
          <w:rFonts w:ascii="Arial" w:hAnsi="Arial" w:cs="Arial"/>
          <w:color w:val="000000" w:themeColor="text1"/>
        </w:rPr>
        <w:t>, inter alia,</w:t>
      </w:r>
      <w:r w:rsidRPr="00D674DF">
        <w:rPr>
          <w:rFonts w:ascii="Arial" w:hAnsi="Arial" w:cs="Arial"/>
          <w:color w:val="000000" w:themeColor="text1"/>
        </w:rPr>
        <w:t xml:space="preserve"> </w:t>
      </w:r>
      <w:r w:rsidR="00D53660" w:rsidRPr="00D674DF">
        <w:rPr>
          <w:rFonts w:ascii="Arial" w:hAnsi="Arial" w:cs="Arial"/>
          <w:color w:val="000000" w:themeColor="text1"/>
        </w:rPr>
        <w:t>the primary judge</w:t>
      </w:r>
      <w:r w:rsidRPr="00D674DF">
        <w:rPr>
          <w:rFonts w:ascii="Arial" w:hAnsi="Arial" w:cs="Arial"/>
          <w:color w:val="000000" w:themeColor="text1"/>
        </w:rPr>
        <w:t xml:space="preserve"> erred</w:t>
      </w:r>
      <w:r w:rsidR="00D4660C" w:rsidRPr="00D674DF">
        <w:rPr>
          <w:rFonts w:ascii="Arial" w:hAnsi="Arial" w:cs="Arial"/>
          <w:color w:val="000000" w:themeColor="text1"/>
        </w:rPr>
        <w:t xml:space="preserve"> </w:t>
      </w:r>
      <w:r w:rsidRPr="00D674DF">
        <w:rPr>
          <w:rFonts w:ascii="Arial" w:hAnsi="Arial" w:cs="Arial"/>
          <w:color w:val="000000" w:themeColor="text1"/>
        </w:rPr>
        <w:t>in the following two ways:</w:t>
      </w:r>
    </w:p>
    <w:p w14:paraId="42C3B95B" w14:textId="7987AB50" w:rsidR="00626112" w:rsidRPr="00D674DF" w:rsidRDefault="00F91CB3" w:rsidP="00A03A03">
      <w:pPr>
        <w:pStyle w:val="ListParagraph"/>
        <w:numPr>
          <w:ilvl w:val="1"/>
          <w:numId w:val="1"/>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I</w:t>
      </w:r>
      <w:r w:rsidR="00626112" w:rsidRPr="00D674DF">
        <w:rPr>
          <w:rFonts w:ascii="Arial" w:hAnsi="Arial" w:cs="Arial"/>
          <w:color w:val="000000" w:themeColor="text1"/>
        </w:rPr>
        <w:t xml:space="preserve">n finding that the construction of s 4 of the Costs in Criminal Cases Act 1967 (NSW) and construction of s 42 of the Legal Aid Commission Act 1979 (NSW) </w:t>
      </w:r>
      <w:r w:rsidR="00626112" w:rsidRPr="00D674DF">
        <w:rPr>
          <w:rFonts w:ascii="Arial" w:hAnsi="Arial" w:cs="Arial"/>
          <w:color w:val="000000" w:themeColor="text1"/>
        </w:rPr>
        <w:lastRenderedPageBreak/>
        <w:t>did not permit the granting of a certificate where the applicant is legally aided; and</w:t>
      </w:r>
    </w:p>
    <w:p w14:paraId="6BD8CADA" w14:textId="52F30912" w:rsidR="00626112" w:rsidRPr="00D674DF" w:rsidRDefault="00F91CB3" w:rsidP="00A03A03">
      <w:pPr>
        <w:pStyle w:val="ListParagraph"/>
        <w:numPr>
          <w:ilvl w:val="1"/>
          <w:numId w:val="1"/>
        </w:numPr>
        <w:snapToGrid w:val="0"/>
        <w:spacing w:before="240" w:after="240" w:line="360" w:lineRule="auto"/>
        <w:contextualSpacing w:val="0"/>
        <w:rPr>
          <w:rFonts w:ascii="Arial" w:hAnsi="Arial" w:cs="Arial"/>
          <w:color w:val="000000" w:themeColor="text1"/>
        </w:rPr>
      </w:pPr>
      <w:r w:rsidRPr="00D674DF">
        <w:rPr>
          <w:rFonts w:ascii="Arial" w:hAnsi="Arial" w:cs="Arial"/>
          <w:color w:val="000000" w:themeColor="text1"/>
        </w:rPr>
        <w:t>I</w:t>
      </w:r>
      <w:r w:rsidR="00626112" w:rsidRPr="00D674DF">
        <w:rPr>
          <w:rFonts w:ascii="Arial" w:hAnsi="Arial" w:cs="Arial"/>
          <w:color w:val="000000" w:themeColor="text1"/>
        </w:rPr>
        <w:t xml:space="preserve">n </w:t>
      </w:r>
      <w:proofErr w:type="gramStart"/>
      <w:r w:rsidR="00626112" w:rsidRPr="00D674DF">
        <w:rPr>
          <w:rFonts w:ascii="Arial" w:hAnsi="Arial" w:cs="Arial"/>
          <w:color w:val="000000" w:themeColor="text1"/>
        </w:rPr>
        <w:t>taking into account</w:t>
      </w:r>
      <w:proofErr w:type="gramEnd"/>
      <w:r w:rsidR="00626112" w:rsidRPr="00D674DF">
        <w:rPr>
          <w:rFonts w:ascii="Arial" w:hAnsi="Arial" w:cs="Arial"/>
          <w:color w:val="000000" w:themeColor="text1"/>
        </w:rPr>
        <w:t xml:space="preserve"> the method by which payment would be made by the Director-General to the Legal Aid Commission and failing to take into account public policy considerations</w:t>
      </w:r>
    </w:p>
    <w:p w14:paraId="1D470FBC" w14:textId="799C8B07" w:rsidR="00CF7124" w:rsidRPr="00D674DF" w:rsidRDefault="004A276C" w:rsidP="00A03A03">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 xml:space="preserve">Having examined the primary judge’s reasoning, the </w:t>
      </w:r>
      <w:r w:rsidR="00F91CB3" w:rsidRPr="00D674DF">
        <w:rPr>
          <w:rFonts w:ascii="Arial" w:hAnsi="Arial" w:cs="Arial"/>
          <w:color w:val="000000" w:themeColor="text1"/>
        </w:rPr>
        <w:t>Court</w:t>
      </w:r>
      <w:r w:rsidR="00201445" w:rsidRPr="00D674DF">
        <w:rPr>
          <w:rFonts w:ascii="Arial" w:hAnsi="Arial" w:cs="Arial"/>
          <w:color w:val="000000" w:themeColor="text1"/>
        </w:rPr>
        <w:t xml:space="preserve"> explained</w:t>
      </w:r>
      <w:r w:rsidR="006251C8" w:rsidRPr="00D674DF">
        <w:rPr>
          <w:rFonts w:ascii="Arial" w:hAnsi="Arial" w:cs="Arial"/>
          <w:color w:val="000000" w:themeColor="text1"/>
        </w:rPr>
        <w:t xml:space="preserve">, at [109], </w:t>
      </w:r>
      <w:r w:rsidR="00CF7124" w:rsidRPr="00D674DF">
        <w:rPr>
          <w:rFonts w:ascii="Arial" w:hAnsi="Arial" w:cs="Arial"/>
          <w:color w:val="000000" w:themeColor="text1"/>
        </w:rPr>
        <w:t xml:space="preserve">that </w:t>
      </w:r>
      <w:r w:rsidR="006B2E59" w:rsidRPr="00D674DF">
        <w:rPr>
          <w:rFonts w:ascii="Arial" w:hAnsi="Arial" w:cs="Arial"/>
          <w:color w:val="000000" w:themeColor="text1"/>
        </w:rPr>
        <w:t>the primary judge</w:t>
      </w:r>
      <w:r w:rsidR="00CF7124" w:rsidRPr="00D674DF">
        <w:rPr>
          <w:rFonts w:ascii="Arial" w:hAnsi="Arial" w:cs="Arial"/>
          <w:color w:val="000000" w:themeColor="text1"/>
        </w:rPr>
        <w:t xml:space="preserve"> was driven by policy questions that had been expressed in “strong terms”</w:t>
      </w:r>
      <w:r w:rsidR="00573C3F" w:rsidRPr="00D674DF">
        <w:rPr>
          <w:rFonts w:ascii="Arial" w:hAnsi="Arial" w:cs="Arial"/>
          <w:color w:val="000000" w:themeColor="text1"/>
        </w:rPr>
        <w:t>;</w:t>
      </w:r>
      <w:r w:rsidR="00B3347C" w:rsidRPr="00D674DF">
        <w:rPr>
          <w:rFonts w:ascii="Arial" w:hAnsi="Arial" w:cs="Arial"/>
          <w:color w:val="000000" w:themeColor="text1"/>
        </w:rPr>
        <w:t xml:space="preserve"> for example:</w:t>
      </w:r>
    </w:p>
    <w:p w14:paraId="4A33559F" w14:textId="08916635" w:rsidR="00CF7124" w:rsidRPr="00D674DF" w:rsidRDefault="00CF7124" w:rsidP="00A03A03">
      <w:pPr>
        <w:pStyle w:val="NormalWeb"/>
        <w:numPr>
          <w:ilvl w:val="1"/>
          <w:numId w:val="1"/>
        </w:numPr>
        <w:snapToGrid w:val="0"/>
        <w:spacing w:before="240" w:beforeAutospacing="0" w:after="240" w:afterAutospacing="0" w:line="360" w:lineRule="auto"/>
        <w:rPr>
          <w:rFonts w:ascii="Arial" w:hAnsi="Arial" w:cs="Arial"/>
          <w:color w:val="000000" w:themeColor="text1"/>
          <w:sz w:val="22"/>
          <w:szCs w:val="22"/>
        </w:rPr>
      </w:pPr>
      <w:r w:rsidRPr="00D674DF">
        <w:rPr>
          <w:rFonts w:ascii="Arial" w:hAnsi="Arial" w:cs="Arial"/>
          <w:color w:val="000000" w:themeColor="text1"/>
          <w:sz w:val="22"/>
          <w:szCs w:val="22"/>
        </w:rPr>
        <w:t>“</w:t>
      </w:r>
      <w:proofErr w:type="gramStart"/>
      <w:r w:rsidRPr="00D674DF">
        <w:rPr>
          <w:rFonts w:ascii="Arial" w:hAnsi="Arial" w:cs="Arial"/>
          <w:color w:val="000000" w:themeColor="text1"/>
          <w:sz w:val="22"/>
          <w:szCs w:val="22"/>
        </w:rPr>
        <w:t>litigation</w:t>
      </w:r>
      <w:proofErr w:type="gramEnd"/>
      <w:r w:rsidRPr="00D674DF">
        <w:rPr>
          <w:rFonts w:ascii="Arial" w:hAnsi="Arial" w:cs="Arial"/>
          <w:color w:val="000000" w:themeColor="text1"/>
          <w:sz w:val="22"/>
          <w:szCs w:val="22"/>
        </w:rPr>
        <w:t xml:space="preserve"> of the issues under s 3 upon which the grant or refusal of a certificate depends, concerning whether prosecution of the charge was reasonable, appears to be a misallocation of the public resources of the Legal Aid Commission, the Director of Public Prosecutions and the Court”;</w:t>
      </w:r>
    </w:p>
    <w:p w14:paraId="2E6882B0" w14:textId="448B0E0A" w:rsidR="00CF7124" w:rsidRPr="00D674DF" w:rsidRDefault="00CF7124" w:rsidP="00A03A03">
      <w:pPr>
        <w:pStyle w:val="NormalWeb"/>
        <w:numPr>
          <w:ilvl w:val="1"/>
          <w:numId w:val="1"/>
        </w:numPr>
        <w:snapToGrid w:val="0"/>
        <w:spacing w:before="240" w:beforeAutospacing="0" w:after="240" w:afterAutospacing="0" w:line="360" w:lineRule="auto"/>
        <w:rPr>
          <w:rFonts w:ascii="Arial" w:hAnsi="Arial" w:cs="Arial"/>
          <w:color w:val="000000" w:themeColor="text1"/>
          <w:sz w:val="22"/>
          <w:szCs w:val="22"/>
        </w:rPr>
      </w:pPr>
      <w:r w:rsidRPr="00D674DF">
        <w:rPr>
          <w:rFonts w:ascii="Arial" w:hAnsi="Arial" w:cs="Arial"/>
          <w:color w:val="000000" w:themeColor="text1"/>
          <w:sz w:val="22"/>
          <w:szCs w:val="22"/>
        </w:rPr>
        <w:t>An application for a costs certificate by an applicant who has been fully funded by Legal Aid represents</w:t>
      </w:r>
      <w:r w:rsidRPr="00D674DF">
        <w:rPr>
          <w:rStyle w:val="apple-converted-space"/>
          <w:rFonts w:ascii="Arial" w:eastAsiaTheme="majorEastAsia" w:hAnsi="Arial" w:cs="Arial"/>
          <w:color w:val="000000" w:themeColor="text1"/>
          <w:sz w:val="22"/>
          <w:szCs w:val="22"/>
        </w:rPr>
        <w:t> </w:t>
      </w:r>
      <w:r w:rsidRPr="00D674DF">
        <w:rPr>
          <w:rFonts w:ascii="Arial" w:hAnsi="Arial" w:cs="Arial"/>
          <w:color w:val="000000" w:themeColor="text1"/>
          <w:sz w:val="22"/>
          <w:szCs w:val="22"/>
        </w:rPr>
        <w:t>“a massive waste of public expenditure upon a form of proceeding that was never envisaged when the Costs in Criminal Cases Act was passed”;</w:t>
      </w:r>
      <w:r w:rsidRPr="00D674DF">
        <w:rPr>
          <w:rStyle w:val="apple-converted-space"/>
          <w:rFonts w:ascii="Arial" w:eastAsiaTheme="majorEastAsia" w:hAnsi="Arial" w:cs="Arial"/>
          <w:color w:val="000000" w:themeColor="text1"/>
          <w:sz w:val="22"/>
          <w:szCs w:val="22"/>
        </w:rPr>
        <w:t> </w:t>
      </w:r>
      <w:r w:rsidRPr="00D674DF">
        <w:rPr>
          <w:rFonts w:ascii="Arial" w:hAnsi="Arial" w:cs="Arial"/>
          <w:color w:val="000000" w:themeColor="text1"/>
          <w:sz w:val="22"/>
          <w:szCs w:val="22"/>
        </w:rPr>
        <w:t>and</w:t>
      </w:r>
    </w:p>
    <w:p w14:paraId="7A6A702D" w14:textId="2C9CA297" w:rsidR="00CF7124" w:rsidRPr="00D674DF" w:rsidRDefault="00CF7124" w:rsidP="00A03A03">
      <w:pPr>
        <w:pStyle w:val="NormalWeb"/>
        <w:numPr>
          <w:ilvl w:val="1"/>
          <w:numId w:val="1"/>
        </w:numPr>
        <w:snapToGrid w:val="0"/>
        <w:spacing w:before="240" w:beforeAutospacing="0" w:after="240" w:afterAutospacing="0" w:line="360" w:lineRule="auto"/>
        <w:rPr>
          <w:rFonts w:ascii="Arial" w:hAnsi="Arial" w:cs="Arial"/>
          <w:color w:val="000000" w:themeColor="text1"/>
          <w:sz w:val="22"/>
          <w:szCs w:val="22"/>
        </w:rPr>
      </w:pPr>
      <w:r w:rsidRPr="00D674DF">
        <w:rPr>
          <w:rFonts w:ascii="Arial" w:hAnsi="Arial" w:cs="Arial"/>
          <w:color w:val="000000" w:themeColor="text1"/>
          <w:sz w:val="22"/>
          <w:szCs w:val="22"/>
        </w:rPr>
        <w:t>“all that can be achieved by these applications is the movement of money between public accounts, which could be done by executive direction rather than by involving statutory bodies in litigation against each other”.</w:t>
      </w:r>
    </w:p>
    <w:p w14:paraId="2DAB8F37" w14:textId="0E8C434B" w:rsidR="00857A80" w:rsidRPr="00D674DF" w:rsidRDefault="00176454"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T</w:t>
      </w:r>
      <w:r w:rsidR="008037FB" w:rsidRPr="00D674DF">
        <w:rPr>
          <w:rFonts w:ascii="Arial" w:hAnsi="Arial" w:cs="Arial"/>
          <w:color w:val="000000" w:themeColor="text1"/>
        </w:rPr>
        <w:t>he</w:t>
      </w:r>
      <w:r w:rsidR="00B20F50" w:rsidRPr="00D674DF">
        <w:rPr>
          <w:rFonts w:ascii="Arial" w:hAnsi="Arial" w:cs="Arial"/>
          <w:color w:val="000000" w:themeColor="text1"/>
        </w:rPr>
        <w:t xml:space="preserve"> Court </w:t>
      </w:r>
      <w:r w:rsidR="00784D45" w:rsidRPr="00D674DF">
        <w:rPr>
          <w:rFonts w:ascii="Arial" w:hAnsi="Arial" w:cs="Arial"/>
          <w:color w:val="000000" w:themeColor="text1"/>
        </w:rPr>
        <w:t>determined that the</w:t>
      </w:r>
      <w:r w:rsidR="008037FB" w:rsidRPr="00D674DF">
        <w:rPr>
          <w:rFonts w:ascii="Arial" w:hAnsi="Arial" w:cs="Arial"/>
          <w:color w:val="000000" w:themeColor="text1"/>
        </w:rPr>
        <w:t xml:space="preserve"> </w:t>
      </w:r>
      <w:r w:rsidR="00CB24B0" w:rsidRPr="00D674DF">
        <w:rPr>
          <w:rFonts w:ascii="Arial" w:hAnsi="Arial" w:cs="Arial"/>
          <w:color w:val="000000" w:themeColor="text1"/>
        </w:rPr>
        <w:t xml:space="preserve">primary judge’s </w:t>
      </w:r>
      <w:r w:rsidR="008037FB" w:rsidRPr="00D674DF">
        <w:rPr>
          <w:rFonts w:ascii="Arial" w:hAnsi="Arial" w:cs="Arial"/>
          <w:color w:val="000000" w:themeColor="text1"/>
        </w:rPr>
        <w:t xml:space="preserve">opinion concerning the construction of the </w:t>
      </w:r>
      <w:r w:rsidR="004B4FC5" w:rsidRPr="00D674DF">
        <w:rPr>
          <w:rFonts w:ascii="Arial" w:hAnsi="Arial" w:cs="Arial"/>
          <w:color w:val="000000" w:themeColor="text1"/>
        </w:rPr>
        <w:t xml:space="preserve">Act and the </w:t>
      </w:r>
      <w:r w:rsidR="008D4A08" w:rsidRPr="00D674DF">
        <w:rPr>
          <w:rFonts w:ascii="Arial" w:hAnsi="Arial" w:cs="Arial"/>
          <w:color w:val="000000" w:themeColor="text1"/>
        </w:rPr>
        <w:t xml:space="preserve">LAC Act was </w:t>
      </w:r>
      <w:r w:rsidR="00CF7124" w:rsidRPr="00D674DF">
        <w:rPr>
          <w:rFonts w:ascii="Arial" w:hAnsi="Arial" w:cs="Arial"/>
          <w:color w:val="000000" w:themeColor="text1"/>
        </w:rPr>
        <w:t>“unnecessary and, in our respectful opinion, wrong…”</w:t>
      </w:r>
      <w:r w:rsidR="00690B94" w:rsidRPr="00D674DF">
        <w:rPr>
          <w:rFonts w:ascii="Arial" w:hAnsi="Arial" w:cs="Arial"/>
          <w:color w:val="000000" w:themeColor="text1"/>
        </w:rPr>
        <w:t xml:space="preserve">: </w:t>
      </w:r>
      <w:r w:rsidR="00690B94" w:rsidRPr="00D674DF">
        <w:rPr>
          <w:rFonts w:ascii="Arial" w:hAnsi="Arial" w:cs="Arial"/>
          <w:i/>
          <w:iCs/>
          <w:color w:val="000000" w:themeColor="text1"/>
        </w:rPr>
        <w:t xml:space="preserve">Rodden </w:t>
      </w:r>
      <w:r w:rsidR="00690B94" w:rsidRPr="00D674DF">
        <w:rPr>
          <w:rFonts w:ascii="Arial" w:hAnsi="Arial" w:cs="Arial"/>
          <w:color w:val="000000" w:themeColor="text1"/>
        </w:rPr>
        <w:t>at [110].</w:t>
      </w:r>
    </w:p>
    <w:p w14:paraId="3B45D8A2" w14:textId="1FAE806C" w:rsidR="005356B2" w:rsidRPr="00D674DF" w:rsidRDefault="00F5697F"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It was unnecessary because the primary judge was not satisfied that the prosecution of the applicant was unreasonable within the meaning of s. 3(1)(a). In the circumstances, there was no reason to consider whether to exercise his discretion against the grant of a certificate.</w:t>
      </w:r>
    </w:p>
    <w:p w14:paraId="0B33A022" w14:textId="12E324FE" w:rsidR="00784D45" w:rsidRPr="00D674DF" w:rsidRDefault="00DE77E1"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It was wrong because</w:t>
      </w:r>
      <w:r w:rsidR="00AF1FA9" w:rsidRPr="00D674DF">
        <w:rPr>
          <w:rFonts w:ascii="Arial" w:hAnsi="Arial" w:cs="Arial"/>
          <w:color w:val="000000" w:themeColor="text1"/>
        </w:rPr>
        <w:t xml:space="preserve"> the primary judge</w:t>
      </w:r>
      <w:r w:rsidR="00696E74" w:rsidRPr="00D674DF">
        <w:rPr>
          <w:rFonts w:ascii="Arial" w:hAnsi="Arial" w:cs="Arial"/>
          <w:color w:val="000000" w:themeColor="text1"/>
        </w:rPr>
        <w:t xml:space="preserve"> proceeded </w:t>
      </w:r>
      <w:r w:rsidR="00B32997" w:rsidRPr="00D674DF">
        <w:rPr>
          <w:rFonts w:ascii="Arial" w:hAnsi="Arial" w:cs="Arial"/>
          <w:color w:val="000000" w:themeColor="text1"/>
        </w:rPr>
        <w:t>upon</w:t>
      </w:r>
      <w:r w:rsidR="00696E74" w:rsidRPr="00D674DF">
        <w:rPr>
          <w:rFonts w:ascii="Arial" w:hAnsi="Arial" w:cs="Arial"/>
          <w:color w:val="000000" w:themeColor="text1"/>
        </w:rPr>
        <w:t xml:space="preserve"> the </w:t>
      </w:r>
      <w:r w:rsidR="00696E74" w:rsidRPr="00D674DF">
        <w:rPr>
          <w:rFonts w:ascii="Arial" w:hAnsi="Arial" w:cs="Arial"/>
          <w:i/>
          <w:iCs/>
          <w:color w:val="000000" w:themeColor="text1"/>
        </w:rPr>
        <w:t>flawed assumption</w:t>
      </w:r>
      <w:r w:rsidR="00B32997" w:rsidRPr="00D674DF">
        <w:rPr>
          <w:rFonts w:ascii="Arial" w:hAnsi="Arial" w:cs="Arial"/>
          <w:color w:val="000000" w:themeColor="text1"/>
        </w:rPr>
        <w:t xml:space="preserve"> that an applicant who had been “</w:t>
      </w:r>
      <w:proofErr w:type="gramStart"/>
      <w:r w:rsidR="00B32997" w:rsidRPr="00D674DF">
        <w:rPr>
          <w:rFonts w:ascii="Arial" w:hAnsi="Arial" w:cs="Arial"/>
          <w:color w:val="000000" w:themeColor="text1"/>
        </w:rPr>
        <w:t>full-funded</w:t>
      </w:r>
      <w:proofErr w:type="gramEnd"/>
      <w:r w:rsidR="00B32997" w:rsidRPr="00D674DF">
        <w:rPr>
          <w:rFonts w:ascii="Arial" w:hAnsi="Arial" w:cs="Arial"/>
          <w:color w:val="000000" w:themeColor="text1"/>
        </w:rPr>
        <w:t>” by the LAC could never be out of pocket, or made liable to make a payment to the LAC</w:t>
      </w:r>
      <w:r w:rsidR="005356B2" w:rsidRPr="00D674DF">
        <w:rPr>
          <w:rFonts w:ascii="Arial" w:hAnsi="Arial" w:cs="Arial"/>
          <w:color w:val="000000" w:themeColor="text1"/>
        </w:rPr>
        <w:t>:</w:t>
      </w:r>
    </w:p>
    <w:p w14:paraId="6C545E80" w14:textId="6F11CF14" w:rsidR="003B0960" w:rsidRPr="00D674DF" w:rsidRDefault="00B26DE2" w:rsidP="00784D45">
      <w:pPr>
        <w:pStyle w:val="ListParagraph"/>
        <w:snapToGrid w:val="0"/>
        <w:spacing w:before="240" w:after="240" w:line="360" w:lineRule="auto"/>
        <w:ind w:left="1134"/>
        <w:contextualSpacing w:val="0"/>
        <w:rPr>
          <w:rFonts w:ascii="Arial" w:hAnsi="Arial" w:cs="Arial"/>
          <w:color w:val="000000" w:themeColor="text1"/>
          <w:sz w:val="21"/>
          <w:szCs w:val="21"/>
        </w:rPr>
      </w:pPr>
      <w:r w:rsidRPr="00D674DF">
        <w:rPr>
          <w:rFonts w:ascii="Arial" w:hAnsi="Arial" w:cs="Arial"/>
          <w:i/>
          <w:iCs/>
          <w:color w:val="000000" w:themeColor="text1"/>
          <w:sz w:val="21"/>
          <w:szCs w:val="21"/>
        </w:rPr>
        <w:t xml:space="preserve">In short, his Honour wrongly assumed that, because the applicant had been "fully funded" by the Commission, the applicant could never be out of pocket, or made </w:t>
      </w:r>
      <w:r w:rsidRPr="00D674DF">
        <w:rPr>
          <w:rFonts w:ascii="Arial" w:hAnsi="Arial" w:cs="Arial"/>
          <w:i/>
          <w:iCs/>
          <w:color w:val="000000" w:themeColor="text1"/>
          <w:sz w:val="21"/>
          <w:szCs w:val="21"/>
        </w:rPr>
        <w:lastRenderedPageBreak/>
        <w:t xml:space="preserve">legally liable to make a payment to the Commission, in respect of the costs that had been incurred in furtherance of his defence. </w:t>
      </w:r>
      <w:r w:rsidRPr="00D674DF">
        <w:rPr>
          <w:rFonts w:ascii="Arial" w:hAnsi="Arial" w:cs="Arial"/>
          <w:b/>
          <w:bCs/>
          <w:i/>
          <w:iCs/>
          <w:color w:val="000000" w:themeColor="text1"/>
          <w:sz w:val="21"/>
          <w:szCs w:val="21"/>
        </w:rPr>
        <w:t>This flawed assumption</w:t>
      </w:r>
      <w:r w:rsidRPr="00D674DF">
        <w:rPr>
          <w:rFonts w:ascii="Arial" w:hAnsi="Arial" w:cs="Arial"/>
          <w:i/>
          <w:iCs/>
          <w:color w:val="000000" w:themeColor="text1"/>
          <w:sz w:val="21"/>
          <w:szCs w:val="21"/>
        </w:rPr>
        <w:t xml:space="preserve"> carried through to his Honour’s statement that “it does not appear to be open to the Director-General to form an opinion that “the making of a payment to the applicant is justified” where the applicant, Mr Rodden, has himself incurred no costs.” A powerful discretionary reason for the Director-General to exercise his discretion favourably would be if the Commission had exercised its powers to require the applicant to </w:t>
      </w:r>
      <w:proofErr w:type="gramStart"/>
      <w:r w:rsidRPr="00D674DF">
        <w:rPr>
          <w:rFonts w:ascii="Arial" w:hAnsi="Arial" w:cs="Arial"/>
          <w:i/>
          <w:iCs/>
          <w:color w:val="000000" w:themeColor="text1"/>
          <w:sz w:val="21"/>
          <w:szCs w:val="21"/>
        </w:rPr>
        <w:t>make a contribution</w:t>
      </w:r>
      <w:proofErr w:type="gramEnd"/>
      <w:r w:rsidRPr="00D674DF">
        <w:rPr>
          <w:rFonts w:ascii="Arial" w:hAnsi="Arial" w:cs="Arial"/>
          <w:i/>
          <w:iCs/>
          <w:color w:val="000000" w:themeColor="text1"/>
          <w:sz w:val="21"/>
          <w:szCs w:val="21"/>
        </w:rPr>
        <w:t xml:space="preserve"> up until the whole of the amount of costs incurred in his defence. It was premature of the primary judge to speculate as to what was open to the Director-General. That would all depend upon the circumstances at a time which necessarily post-dated the grant of a certificate pursuant to s 2 of the Costs Act</w:t>
      </w:r>
      <w:r w:rsidR="00784D45" w:rsidRPr="00D674DF">
        <w:rPr>
          <w:rFonts w:ascii="Arial" w:hAnsi="Arial" w:cs="Arial"/>
          <w:color w:val="000000" w:themeColor="text1"/>
          <w:sz w:val="21"/>
          <w:szCs w:val="21"/>
        </w:rPr>
        <w:t xml:space="preserve">: </w:t>
      </w:r>
      <w:r w:rsidR="00784D45" w:rsidRPr="00D674DF">
        <w:rPr>
          <w:rFonts w:ascii="Arial" w:hAnsi="Arial" w:cs="Arial"/>
          <w:i/>
          <w:iCs/>
          <w:color w:val="000000" w:themeColor="text1"/>
          <w:sz w:val="21"/>
          <w:szCs w:val="21"/>
        </w:rPr>
        <w:t>Rodden</w:t>
      </w:r>
      <w:r w:rsidR="00784D45" w:rsidRPr="00D674DF">
        <w:rPr>
          <w:rFonts w:ascii="Arial" w:hAnsi="Arial" w:cs="Arial"/>
          <w:color w:val="000000" w:themeColor="text1"/>
          <w:sz w:val="21"/>
          <w:szCs w:val="21"/>
        </w:rPr>
        <w:t xml:space="preserve"> [125].</w:t>
      </w:r>
    </w:p>
    <w:p w14:paraId="60DEF94D" w14:textId="35C26B89" w:rsidR="00885CED" w:rsidRPr="00D674DF" w:rsidRDefault="00885CED"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 xml:space="preserve">In concluding that two of the grounds of appeal had been made out, the </w:t>
      </w:r>
      <w:r w:rsidR="00CA4F75" w:rsidRPr="00D674DF">
        <w:rPr>
          <w:rFonts w:ascii="Arial" w:hAnsi="Arial" w:cs="Arial"/>
          <w:color w:val="000000" w:themeColor="text1"/>
        </w:rPr>
        <w:t>Court</w:t>
      </w:r>
      <w:r w:rsidRPr="00D674DF">
        <w:rPr>
          <w:rFonts w:ascii="Arial" w:hAnsi="Arial" w:cs="Arial"/>
          <w:color w:val="000000" w:themeColor="text1"/>
        </w:rPr>
        <w:t xml:space="preserve"> targeted the language deployed by Fagan J:</w:t>
      </w:r>
    </w:p>
    <w:p w14:paraId="650EEADE" w14:textId="77777777" w:rsidR="00885CED" w:rsidRPr="00D674DF" w:rsidRDefault="00885CED" w:rsidP="00690B94">
      <w:pPr>
        <w:pStyle w:val="NormalWeb"/>
        <w:snapToGrid w:val="0"/>
        <w:spacing w:before="240" w:beforeAutospacing="0" w:after="240" w:afterAutospacing="0" w:line="360" w:lineRule="auto"/>
        <w:ind w:left="1134"/>
        <w:rPr>
          <w:rFonts w:ascii="Arial" w:hAnsi="Arial" w:cs="Arial"/>
          <w:color w:val="000000" w:themeColor="text1"/>
          <w:sz w:val="21"/>
          <w:szCs w:val="21"/>
        </w:rPr>
      </w:pPr>
      <w:r w:rsidRPr="00D674DF">
        <w:rPr>
          <w:rFonts w:ascii="Arial" w:hAnsi="Arial" w:cs="Arial"/>
          <w:color w:val="000000" w:themeColor="text1"/>
          <w:sz w:val="21"/>
          <w:szCs w:val="21"/>
        </w:rPr>
        <w:t xml:space="preserve">[132] To the extent that his Honour sought to support his analysis by recourse to arguments based in public policy, including those highlighted at [109] above, again we disagree with his Honour’s viewpoint. </w:t>
      </w:r>
      <w:r w:rsidRPr="00D674DF">
        <w:rPr>
          <w:rFonts w:ascii="Arial" w:hAnsi="Arial" w:cs="Arial"/>
          <w:b/>
          <w:bCs/>
          <w:color w:val="000000" w:themeColor="text1"/>
          <w:sz w:val="21"/>
          <w:szCs w:val="21"/>
        </w:rPr>
        <w:t>Even if it were ever appropriate for a judge to</w:t>
      </w:r>
      <w:r w:rsidRPr="00D674DF">
        <w:rPr>
          <w:rStyle w:val="apple-converted-space"/>
          <w:rFonts w:ascii="Arial" w:eastAsiaTheme="majorEastAsia" w:hAnsi="Arial" w:cs="Arial"/>
          <w:b/>
          <w:bCs/>
          <w:color w:val="000000" w:themeColor="text1"/>
          <w:sz w:val="21"/>
          <w:szCs w:val="21"/>
        </w:rPr>
        <w:t> </w:t>
      </w:r>
      <w:r w:rsidRPr="00D674DF">
        <w:rPr>
          <w:rFonts w:ascii="Arial" w:hAnsi="Arial" w:cs="Arial"/>
          <w:b/>
          <w:bCs/>
          <w:color w:val="000000" w:themeColor="text1"/>
          <w:sz w:val="21"/>
          <w:szCs w:val="21"/>
        </w:rPr>
        <w:t>express</w:t>
      </w:r>
      <w:r w:rsidRPr="00D674DF">
        <w:rPr>
          <w:rStyle w:val="apple-converted-space"/>
          <w:rFonts w:ascii="Arial" w:eastAsiaTheme="majorEastAsia" w:hAnsi="Arial" w:cs="Arial"/>
          <w:b/>
          <w:bCs/>
          <w:color w:val="000000" w:themeColor="text1"/>
          <w:sz w:val="21"/>
          <w:szCs w:val="21"/>
        </w:rPr>
        <w:t> </w:t>
      </w:r>
      <w:r w:rsidRPr="00D674DF">
        <w:rPr>
          <w:rFonts w:ascii="Arial" w:hAnsi="Arial" w:cs="Arial"/>
          <w:b/>
          <w:bCs/>
          <w:color w:val="000000" w:themeColor="text1"/>
          <w:sz w:val="21"/>
          <w:szCs w:val="21"/>
        </w:rPr>
        <w:t>the view that a statutory scheme</w:t>
      </w:r>
      <w:r w:rsidRPr="00D674DF">
        <w:rPr>
          <w:rStyle w:val="apple-converted-space"/>
          <w:rFonts w:ascii="Arial" w:eastAsiaTheme="majorEastAsia" w:hAnsi="Arial" w:cs="Arial"/>
          <w:b/>
          <w:bCs/>
          <w:color w:val="000000" w:themeColor="text1"/>
          <w:sz w:val="21"/>
          <w:szCs w:val="21"/>
        </w:rPr>
        <w:t> </w:t>
      </w:r>
      <w:r w:rsidRPr="00D674DF">
        <w:rPr>
          <w:rFonts w:ascii="Arial" w:hAnsi="Arial" w:cs="Arial"/>
          <w:b/>
          <w:bCs/>
          <w:color w:val="000000" w:themeColor="text1"/>
          <w:sz w:val="21"/>
          <w:szCs w:val="21"/>
        </w:rPr>
        <w:t>“appears to be a misallocation of the public resources of the Legal Aid Commission, the Director of Public Prosecutions and the Court”</w:t>
      </w:r>
      <w:r w:rsidRPr="00D674DF">
        <w:rPr>
          <w:rStyle w:val="apple-converted-space"/>
          <w:rFonts w:ascii="Arial" w:eastAsiaTheme="majorEastAsia" w:hAnsi="Arial" w:cs="Arial"/>
          <w:b/>
          <w:bCs/>
          <w:color w:val="000000" w:themeColor="text1"/>
          <w:sz w:val="21"/>
          <w:szCs w:val="21"/>
        </w:rPr>
        <w:t> </w:t>
      </w:r>
      <w:r w:rsidRPr="00D674DF">
        <w:rPr>
          <w:rFonts w:ascii="Arial" w:hAnsi="Arial" w:cs="Arial"/>
          <w:b/>
          <w:bCs/>
          <w:color w:val="000000" w:themeColor="text1"/>
          <w:sz w:val="21"/>
          <w:szCs w:val="21"/>
        </w:rPr>
        <w:t>and to entail</w:t>
      </w:r>
      <w:r w:rsidRPr="00D674DF">
        <w:rPr>
          <w:rStyle w:val="apple-converted-space"/>
          <w:rFonts w:ascii="Arial" w:eastAsiaTheme="majorEastAsia" w:hAnsi="Arial" w:cs="Arial"/>
          <w:b/>
          <w:bCs/>
          <w:color w:val="000000" w:themeColor="text1"/>
          <w:sz w:val="21"/>
          <w:szCs w:val="21"/>
        </w:rPr>
        <w:t> </w:t>
      </w:r>
      <w:r w:rsidRPr="00D674DF">
        <w:rPr>
          <w:rFonts w:ascii="Arial" w:hAnsi="Arial" w:cs="Arial"/>
          <w:b/>
          <w:bCs/>
          <w:color w:val="000000" w:themeColor="text1"/>
          <w:sz w:val="21"/>
          <w:szCs w:val="21"/>
        </w:rPr>
        <w:t>“a massive waste of public expenditure”, the role of the Court in forming an opinion as to the matters referred to in s 3 of the Costs Act makes eminent common sense.</w:t>
      </w:r>
      <w:r w:rsidRPr="00D674DF">
        <w:rPr>
          <w:rFonts w:ascii="Arial" w:hAnsi="Arial" w:cs="Arial"/>
          <w:color w:val="000000" w:themeColor="text1"/>
          <w:sz w:val="21"/>
          <w:szCs w:val="21"/>
        </w:rPr>
        <w:t xml:space="preserve"> The</w:t>
      </w:r>
      <w:r w:rsidRPr="00D674DF">
        <w:rPr>
          <w:rStyle w:val="apple-converted-space"/>
          <w:rFonts w:ascii="Arial" w:eastAsiaTheme="majorEastAsia" w:hAnsi="Arial" w:cs="Arial"/>
          <w:color w:val="000000" w:themeColor="text1"/>
          <w:sz w:val="21"/>
          <w:szCs w:val="21"/>
        </w:rPr>
        <w:t> </w:t>
      </w:r>
      <w:r w:rsidRPr="00D674DF">
        <w:rPr>
          <w:rFonts w:ascii="Arial" w:hAnsi="Arial" w:cs="Arial"/>
          <w:color w:val="000000" w:themeColor="text1"/>
          <w:sz w:val="21"/>
          <w:szCs w:val="21"/>
        </w:rPr>
        <w:t>existence of a judicial opinion as to those matters</w:t>
      </w:r>
      <w:r w:rsidRPr="00D674DF">
        <w:rPr>
          <w:rStyle w:val="apple-converted-space"/>
          <w:rFonts w:ascii="Arial" w:eastAsiaTheme="majorEastAsia" w:hAnsi="Arial" w:cs="Arial"/>
          <w:color w:val="000000" w:themeColor="text1"/>
          <w:sz w:val="21"/>
          <w:szCs w:val="21"/>
        </w:rPr>
        <w:t> </w:t>
      </w:r>
      <w:r w:rsidRPr="00D674DF">
        <w:rPr>
          <w:rFonts w:ascii="Arial" w:hAnsi="Arial" w:cs="Arial"/>
          <w:color w:val="000000" w:themeColor="text1"/>
          <w:sz w:val="21"/>
          <w:szCs w:val="21"/>
        </w:rPr>
        <w:t>supplies</w:t>
      </w:r>
      <w:r w:rsidRPr="00D674DF">
        <w:rPr>
          <w:rStyle w:val="apple-converted-space"/>
          <w:rFonts w:ascii="Arial" w:eastAsiaTheme="majorEastAsia" w:hAnsi="Arial" w:cs="Arial"/>
          <w:color w:val="000000" w:themeColor="text1"/>
          <w:sz w:val="21"/>
          <w:szCs w:val="21"/>
        </w:rPr>
        <w:t> </w:t>
      </w:r>
      <w:r w:rsidRPr="00D674DF">
        <w:rPr>
          <w:rFonts w:ascii="Arial" w:hAnsi="Arial" w:cs="Arial"/>
          <w:color w:val="000000" w:themeColor="text1"/>
          <w:sz w:val="21"/>
          <w:szCs w:val="21"/>
        </w:rPr>
        <w:t>the gateway to an award of costs. That the ultimate decision as to whether a costs award is made is vested in the Director-General was</w:t>
      </w:r>
      <w:r w:rsidRPr="00D674DF">
        <w:rPr>
          <w:rStyle w:val="apple-converted-space"/>
          <w:rFonts w:ascii="Arial" w:eastAsiaTheme="majorEastAsia" w:hAnsi="Arial" w:cs="Arial"/>
          <w:color w:val="000000" w:themeColor="text1"/>
          <w:sz w:val="21"/>
          <w:szCs w:val="21"/>
        </w:rPr>
        <w:t> </w:t>
      </w:r>
      <w:r w:rsidRPr="00D674DF">
        <w:rPr>
          <w:rFonts w:ascii="Arial" w:hAnsi="Arial" w:cs="Arial"/>
          <w:color w:val="000000" w:themeColor="text1"/>
          <w:sz w:val="21"/>
          <w:szCs w:val="21"/>
        </w:rPr>
        <w:t>and is</w:t>
      </w:r>
      <w:r w:rsidRPr="00D674DF">
        <w:rPr>
          <w:rStyle w:val="apple-converted-space"/>
          <w:rFonts w:ascii="Arial" w:eastAsiaTheme="majorEastAsia" w:hAnsi="Arial" w:cs="Arial"/>
          <w:color w:val="000000" w:themeColor="text1"/>
          <w:sz w:val="21"/>
          <w:szCs w:val="21"/>
        </w:rPr>
        <w:t> </w:t>
      </w:r>
      <w:r w:rsidRPr="00D674DF">
        <w:rPr>
          <w:rFonts w:ascii="Arial" w:hAnsi="Arial" w:cs="Arial"/>
          <w:color w:val="000000" w:themeColor="text1"/>
          <w:sz w:val="21"/>
          <w:szCs w:val="21"/>
        </w:rPr>
        <w:t>a matter for the legislature.</w:t>
      </w:r>
      <w:r w:rsidRPr="00D674DF">
        <w:rPr>
          <w:rStyle w:val="apple-converted-space"/>
          <w:rFonts w:ascii="Arial" w:eastAsiaTheme="majorEastAsia" w:hAnsi="Arial" w:cs="Arial"/>
          <w:color w:val="000000" w:themeColor="text1"/>
          <w:sz w:val="21"/>
          <w:szCs w:val="21"/>
        </w:rPr>
        <w:t> </w:t>
      </w:r>
    </w:p>
    <w:p w14:paraId="08553612" w14:textId="77777777" w:rsidR="00885CED" w:rsidRPr="00D674DF" w:rsidRDefault="00885CED" w:rsidP="00690B94">
      <w:pPr>
        <w:pStyle w:val="NormalWeb"/>
        <w:snapToGrid w:val="0"/>
        <w:spacing w:before="240" w:beforeAutospacing="0" w:after="240" w:afterAutospacing="0" w:line="360" w:lineRule="auto"/>
        <w:ind w:left="1134"/>
        <w:rPr>
          <w:rFonts w:ascii="Arial" w:hAnsi="Arial" w:cs="Arial"/>
          <w:color w:val="000000" w:themeColor="text1"/>
          <w:sz w:val="21"/>
          <w:szCs w:val="21"/>
        </w:rPr>
      </w:pPr>
      <w:r w:rsidRPr="00D674DF">
        <w:rPr>
          <w:rFonts w:ascii="Arial" w:hAnsi="Arial" w:cs="Arial"/>
          <w:color w:val="000000" w:themeColor="text1"/>
          <w:sz w:val="21"/>
          <w:szCs w:val="21"/>
        </w:rPr>
        <w:t xml:space="preserve">[133] </w:t>
      </w:r>
      <w:r w:rsidRPr="00D674DF">
        <w:rPr>
          <w:rFonts w:ascii="Arial" w:hAnsi="Arial" w:cs="Arial"/>
          <w:b/>
          <w:bCs/>
          <w:color w:val="000000" w:themeColor="text1"/>
          <w:sz w:val="21"/>
          <w:szCs w:val="21"/>
        </w:rPr>
        <w:t>Nor, with respect, is the view that what is entailed in a Costs Act exercise</w:t>
      </w:r>
      <w:r w:rsidRPr="00D674DF">
        <w:rPr>
          <w:rStyle w:val="apple-converted-space"/>
          <w:rFonts w:ascii="Arial" w:eastAsiaTheme="majorEastAsia" w:hAnsi="Arial" w:cs="Arial"/>
          <w:b/>
          <w:bCs/>
          <w:color w:val="000000" w:themeColor="text1"/>
          <w:sz w:val="21"/>
          <w:szCs w:val="21"/>
        </w:rPr>
        <w:t> </w:t>
      </w:r>
      <w:r w:rsidRPr="00D674DF">
        <w:rPr>
          <w:rFonts w:ascii="Arial" w:hAnsi="Arial" w:cs="Arial"/>
          <w:b/>
          <w:bCs/>
          <w:color w:val="000000" w:themeColor="text1"/>
          <w:sz w:val="21"/>
          <w:szCs w:val="21"/>
        </w:rPr>
        <w:t>is</w:t>
      </w:r>
      <w:r w:rsidRPr="00D674DF">
        <w:rPr>
          <w:rStyle w:val="apple-converted-space"/>
          <w:rFonts w:ascii="Arial" w:eastAsiaTheme="majorEastAsia" w:hAnsi="Arial" w:cs="Arial"/>
          <w:b/>
          <w:bCs/>
          <w:color w:val="000000" w:themeColor="text1"/>
          <w:sz w:val="21"/>
          <w:szCs w:val="21"/>
        </w:rPr>
        <w:t> </w:t>
      </w:r>
      <w:r w:rsidRPr="00D674DF">
        <w:rPr>
          <w:rFonts w:ascii="Arial" w:hAnsi="Arial" w:cs="Arial"/>
          <w:b/>
          <w:bCs/>
          <w:color w:val="000000" w:themeColor="text1"/>
          <w:sz w:val="21"/>
          <w:szCs w:val="21"/>
        </w:rPr>
        <w:t>simply</w:t>
      </w:r>
      <w:r w:rsidRPr="00D674DF">
        <w:rPr>
          <w:rStyle w:val="apple-converted-space"/>
          <w:rFonts w:ascii="Arial" w:eastAsiaTheme="majorEastAsia" w:hAnsi="Arial" w:cs="Arial"/>
          <w:b/>
          <w:bCs/>
          <w:color w:val="000000" w:themeColor="text1"/>
          <w:sz w:val="21"/>
          <w:szCs w:val="21"/>
        </w:rPr>
        <w:t> </w:t>
      </w:r>
      <w:r w:rsidRPr="00D674DF">
        <w:rPr>
          <w:rFonts w:ascii="Arial" w:hAnsi="Arial" w:cs="Arial"/>
          <w:b/>
          <w:bCs/>
          <w:color w:val="000000" w:themeColor="text1"/>
          <w:sz w:val="21"/>
          <w:szCs w:val="21"/>
        </w:rPr>
        <w:t>“the movement of money between public accounts”</w:t>
      </w:r>
      <w:r w:rsidRPr="00D674DF">
        <w:rPr>
          <w:rStyle w:val="apple-converted-space"/>
          <w:rFonts w:ascii="Arial" w:eastAsiaTheme="majorEastAsia" w:hAnsi="Arial" w:cs="Arial"/>
          <w:b/>
          <w:bCs/>
          <w:color w:val="000000" w:themeColor="text1"/>
          <w:sz w:val="21"/>
          <w:szCs w:val="21"/>
        </w:rPr>
        <w:t> </w:t>
      </w:r>
      <w:r w:rsidRPr="00D674DF">
        <w:rPr>
          <w:rFonts w:ascii="Arial" w:hAnsi="Arial" w:cs="Arial"/>
          <w:b/>
          <w:bCs/>
          <w:color w:val="000000" w:themeColor="text1"/>
          <w:sz w:val="21"/>
          <w:szCs w:val="21"/>
        </w:rPr>
        <w:t>either</w:t>
      </w:r>
      <w:r w:rsidRPr="00D674DF">
        <w:rPr>
          <w:rStyle w:val="apple-converted-space"/>
          <w:rFonts w:ascii="Arial" w:eastAsiaTheme="majorEastAsia" w:hAnsi="Arial" w:cs="Arial"/>
          <w:b/>
          <w:bCs/>
          <w:color w:val="000000" w:themeColor="text1"/>
          <w:sz w:val="21"/>
          <w:szCs w:val="21"/>
        </w:rPr>
        <w:t> </w:t>
      </w:r>
      <w:r w:rsidRPr="00D674DF">
        <w:rPr>
          <w:rFonts w:ascii="Arial" w:hAnsi="Arial" w:cs="Arial"/>
          <w:b/>
          <w:bCs/>
          <w:color w:val="000000" w:themeColor="text1"/>
          <w:sz w:val="21"/>
          <w:szCs w:val="21"/>
        </w:rPr>
        <w:t>accurate</w:t>
      </w:r>
      <w:r w:rsidRPr="00D674DF">
        <w:rPr>
          <w:rFonts w:ascii="Arial" w:hAnsi="Arial" w:cs="Arial"/>
          <w:color w:val="000000" w:themeColor="text1"/>
          <w:sz w:val="21"/>
          <w:szCs w:val="21"/>
        </w:rPr>
        <w:t xml:space="preserve"> or reflective of the fact that the Commission is</w:t>
      </w:r>
      <w:r w:rsidRPr="00D674DF">
        <w:rPr>
          <w:rStyle w:val="apple-converted-space"/>
          <w:rFonts w:ascii="Arial" w:eastAsiaTheme="majorEastAsia" w:hAnsi="Arial" w:cs="Arial"/>
          <w:color w:val="000000" w:themeColor="text1"/>
          <w:sz w:val="21"/>
          <w:szCs w:val="21"/>
        </w:rPr>
        <w:t> </w:t>
      </w:r>
      <w:r w:rsidRPr="00D674DF">
        <w:rPr>
          <w:rFonts w:ascii="Arial" w:hAnsi="Arial" w:cs="Arial"/>
          <w:color w:val="000000" w:themeColor="text1"/>
          <w:sz w:val="21"/>
          <w:szCs w:val="21"/>
        </w:rPr>
        <w:t>constituted a corporation under s 6 of the LAC Act with a Board and Chief Executive Officer (ss 14-17), there is a separate Legal Aid Fund (s 62) with attendant statutory</w:t>
      </w:r>
      <w:r w:rsidRPr="00D674DF">
        <w:rPr>
          <w:rStyle w:val="apple-converted-space"/>
          <w:rFonts w:ascii="Arial" w:eastAsiaTheme="majorEastAsia" w:hAnsi="Arial" w:cs="Arial"/>
          <w:color w:val="000000" w:themeColor="text1"/>
          <w:sz w:val="21"/>
          <w:szCs w:val="21"/>
        </w:rPr>
        <w:t> </w:t>
      </w:r>
      <w:r w:rsidRPr="00D674DF">
        <w:rPr>
          <w:rFonts w:ascii="Arial" w:hAnsi="Arial" w:cs="Arial"/>
          <w:color w:val="000000" w:themeColor="text1"/>
          <w:sz w:val="21"/>
          <w:szCs w:val="21"/>
        </w:rPr>
        <w:t>obligations in relation to payment into and out of that Fund (ss 63,</w:t>
      </w:r>
      <w:r w:rsidRPr="00D674DF">
        <w:rPr>
          <w:rStyle w:val="apple-converted-space"/>
          <w:rFonts w:ascii="Arial" w:eastAsiaTheme="majorEastAsia" w:hAnsi="Arial" w:cs="Arial"/>
          <w:color w:val="000000" w:themeColor="text1"/>
          <w:sz w:val="21"/>
          <w:szCs w:val="21"/>
        </w:rPr>
        <w:t> </w:t>
      </w:r>
      <w:r w:rsidRPr="00D674DF">
        <w:rPr>
          <w:rFonts w:ascii="Arial" w:hAnsi="Arial" w:cs="Arial"/>
          <w:color w:val="000000" w:themeColor="text1"/>
          <w:sz w:val="21"/>
          <w:szCs w:val="21"/>
        </w:rPr>
        <w:t>64) and that, by s 67 of the LAC Act,</w:t>
      </w:r>
      <w:r w:rsidRPr="00D674DF">
        <w:rPr>
          <w:rStyle w:val="apple-converted-space"/>
          <w:rFonts w:ascii="Arial" w:eastAsiaTheme="majorEastAsia" w:hAnsi="Arial" w:cs="Arial"/>
          <w:color w:val="000000" w:themeColor="text1"/>
          <w:sz w:val="21"/>
          <w:szCs w:val="21"/>
        </w:rPr>
        <w:t> </w:t>
      </w:r>
      <w:r w:rsidRPr="00D674DF">
        <w:rPr>
          <w:rFonts w:ascii="Arial" w:hAnsi="Arial" w:cs="Arial"/>
          <w:color w:val="000000" w:themeColor="text1"/>
          <w:sz w:val="21"/>
          <w:szCs w:val="21"/>
        </w:rPr>
        <w:t>the Commission is required, on or before 31 May in each year, to prepare estimates of its income and expenditure for the following financial year.</w:t>
      </w:r>
    </w:p>
    <w:p w14:paraId="0D342401" w14:textId="4B5B6407" w:rsidR="00A6600E" w:rsidRPr="00D674DF" w:rsidRDefault="00885CED" w:rsidP="00690B94">
      <w:pPr>
        <w:pStyle w:val="NormalWeb"/>
        <w:snapToGrid w:val="0"/>
        <w:spacing w:before="240" w:beforeAutospacing="0" w:after="240" w:afterAutospacing="0" w:line="360" w:lineRule="auto"/>
        <w:ind w:left="1134"/>
        <w:rPr>
          <w:rFonts w:ascii="Arial" w:hAnsi="Arial" w:cs="Arial"/>
          <w:color w:val="000000" w:themeColor="text1"/>
        </w:rPr>
      </w:pPr>
      <w:r w:rsidRPr="00D674DF">
        <w:rPr>
          <w:rFonts w:ascii="Arial" w:hAnsi="Arial" w:cs="Arial"/>
          <w:color w:val="000000" w:themeColor="text1"/>
          <w:sz w:val="21"/>
          <w:szCs w:val="21"/>
        </w:rPr>
        <w:t>[13</w:t>
      </w:r>
      <w:r w:rsidR="00CA4F75" w:rsidRPr="00D674DF">
        <w:rPr>
          <w:rFonts w:ascii="Arial" w:hAnsi="Arial" w:cs="Arial"/>
          <w:color w:val="000000" w:themeColor="text1"/>
          <w:sz w:val="21"/>
          <w:szCs w:val="21"/>
        </w:rPr>
        <w:t>4</w:t>
      </w:r>
      <w:r w:rsidRPr="00D674DF">
        <w:rPr>
          <w:rFonts w:ascii="Arial" w:hAnsi="Arial" w:cs="Arial"/>
          <w:color w:val="000000" w:themeColor="text1"/>
          <w:sz w:val="21"/>
          <w:szCs w:val="21"/>
        </w:rPr>
        <w:t>] Further, given the salutary effect of an adverse costs order referred to by McHugh J in</w:t>
      </w:r>
      <w:r w:rsidRPr="00D674DF">
        <w:rPr>
          <w:rStyle w:val="apple-converted-space"/>
          <w:rFonts w:ascii="Arial" w:eastAsiaTheme="majorEastAsia" w:hAnsi="Arial" w:cs="Arial"/>
          <w:color w:val="000000" w:themeColor="text1"/>
          <w:sz w:val="21"/>
          <w:szCs w:val="21"/>
        </w:rPr>
        <w:t> </w:t>
      </w:r>
      <w:proofErr w:type="spellStart"/>
      <w:r w:rsidRPr="00D674DF">
        <w:rPr>
          <w:rStyle w:val="Emphasis"/>
          <w:rFonts w:ascii="Arial" w:eastAsiaTheme="majorEastAsia" w:hAnsi="Arial" w:cs="Arial"/>
          <w:color w:val="000000" w:themeColor="text1"/>
          <w:sz w:val="21"/>
          <w:szCs w:val="21"/>
        </w:rPr>
        <w:t>Oshlack</w:t>
      </w:r>
      <w:proofErr w:type="spellEnd"/>
      <w:r w:rsidRPr="00D674DF">
        <w:rPr>
          <w:rFonts w:ascii="Arial" w:hAnsi="Arial" w:cs="Arial"/>
          <w:color w:val="000000" w:themeColor="text1"/>
          <w:sz w:val="21"/>
          <w:szCs w:val="21"/>
        </w:rPr>
        <w:t xml:space="preserve">, </w:t>
      </w:r>
      <w:r w:rsidRPr="00D674DF">
        <w:rPr>
          <w:rFonts w:ascii="Arial" w:hAnsi="Arial" w:cs="Arial"/>
          <w:b/>
          <w:bCs/>
          <w:color w:val="000000" w:themeColor="text1"/>
          <w:sz w:val="21"/>
          <w:szCs w:val="21"/>
        </w:rPr>
        <w:t xml:space="preserve">the making of an award of costs following a successful </w:t>
      </w:r>
      <w:r w:rsidRPr="00D674DF">
        <w:rPr>
          <w:rFonts w:ascii="Arial" w:hAnsi="Arial" w:cs="Arial"/>
          <w:b/>
          <w:bCs/>
          <w:color w:val="000000" w:themeColor="text1"/>
          <w:sz w:val="21"/>
          <w:szCs w:val="21"/>
        </w:rPr>
        <w:lastRenderedPageBreak/>
        <w:t>application pursuant to the Costs Act achieves rather more than simply a movement of moneys or</w:t>
      </w:r>
      <w:r w:rsidRPr="00D674DF">
        <w:rPr>
          <w:rStyle w:val="apple-converted-space"/>
          <w:rFonts w:ascii="Arial" w:eastAsiaTheme="majorEastAsia" w:hAnsi="Arial" w:cs="Arial"/>
          <w:b/>
          <w:bCs/>
          <w:color w:val="000000" w:themeColor="text1"/>
          <w:sz w:val="21"/>
          <w:szCs w:val="21"/>
        </w:rPr>
        <w:t> </w:t>
      </w:r>
      <w:r w:rsidRPr="00D674DF">
        <w:rPr>
          <w:rFonts w:ascii="Arial" w:hAnsi="Arial" w:cs="Arial"/>
          <w:b/>
          <w:bCs/>
          <w:color w:val="000000" w:themeColor="text1"/>
          <w:sz w:val="21"/>
          <w:szCs w:val="21"/>
        </w:rPr>
        <w:t>“churning of funds between public accounts”</w:t>
      </w:r>
      <w:r w:rsidRPr="00D674DF">
        <w:rPr>
          <w:rFonts w:ascii="Arial" w:hAnsi="Arial" w:cs="Arial"/>
          <w:color w:val="000000" w:themeColor="text1"/>
          <w:sz w:val="21"/>
          <w:szCs w:val="21"/>
        </w:rPr>
        <w:t>, as his Honour descri</w:t>
      </w:r>
      <w:r w:rsidRPr="00D674DF">
        <w:rPr>
          <w:rFonts w:ascii="Arial" w:hAnsi="Arial" w:cs="Arial"/>
          <w:color w:val="000000" w:themeColor="text1"/>
        </w:rPr>
        <w:t>bed it.</w:t>
      </w:r>
    </w:p>
    <w:p w14:paraId="1755CDB8" w14:textId="77777777" w:rsidR="001A43B2" w:rsidRPr="00D674DF" w:rsidRDefault="001A43B2" w:rsidP="00A03A03">
      <w:pPr>
        <w:pStyle w:val="NormalWeb"/>
        <w:snapToGrid w:val="0"/>
        <w:spacing w:before="240" w:beforeAutospacing="0" w:after="240" w:afterAutospacing="0" w:line="360" w:lineRule="auto"/>
        <w:rPr>
          <w:rFonts w:ascii="Arial" w:hAnsi="Arial" w:cs="Arial"/>
          <w:color w:val="000000" w:themeColor="text1"/>
          <w:sz w:val="22"/>
          <w:szCs w:val="22"/>
          <w:u w:val="single"/>
        </w:rPr>
      </w:pPr>
    </w:p>
    <w:p w14:paraId="10E99D8F" w14:textId="77777777" w:rsidR="001A43B2" w:rsidRPr="00D674DF" w:rsidRDefault="001A43B2" w:rsidP="00A03A03">
      <w:pPr>
        <w:pStyle w:val="NormalWeb"/>
        <w:snapToGrid w:val="0"/>
        <w:spacing w:before="240" w:beforeAutospacing="0" w:after="240" w:afterAutospacing="0" w:line="360" w:lineRule="auto"/>
        <w:rPr>
          <w:rFonts w:ascii="Arial" w:hAnsi="Arial" w:cs="Arial"/>
          <w:color w:val="000000" w:themeColor="text1"/>
          <w:sz w:val="22"/>
          <w:szCs w:val="22"/>
          <w:u w:val="single"/>
        </w:rPr>
      </w:pPr>
    </w:p>
    <w:p w14:paraId="0B0893D2" w14:textId="51C1BFD8" w:rsidR="009018A6" w:rsidRPr="00D674DF" w:rsidRDefault="009018A6" w:rsidP="00A03A03">
      <w:pPr>
        <w:pStyle w:val="NormalWeb"/>
        <w:snapToGrid w:val="0"/>
        <w:spacing w:before="240" w:beforeAutospacing="0" w:after="240" w:afterAutospacing="0" w:line="360" w:lineRule="auto"/>
        <w:rPr>
          <w:rFonts w:ascii="Arial" w:hAnsi="Arial" w:cs="Arial"/>
          <w:color w:val="000000" w:themeColor="text1"/>
          <w:sz w:val="22"/>
          <w:szCs w:val="22"/>
          <w:u w:val="single"/>
        </w:rPr>
      </w:pPr>
      <w:r w:rsidRPr="00D674DF">
        <w:rPr>
          <w:rFonts w:ascii="Arial" w:hAnsi="Arial" w:cs="Arial"/>
          <w:color w:val="000000" w:themeColor="text1"/>
          <w:sz w:val="22"/>
          <w:szCs w:val="22"/>
          <w:u w:val="single"/>
        </w:rPr>
        <w:t>Some key takeaways</w:t>
      </w:r>
    </w:p>
    <w:p w14:paraId="5C54B89A" w14:textId="2D79D2EC" w:rsidR="00A6600E" w:rsidRPr="00D674DF" w:rsidRDefault="00A6600E"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In the ordinary course, it is not the function of judges considering whether to grant a certificate under s 2 to consider the matters raised by section 4 including the quantification of costs and the extent to which the applicant for the certificate is obliged to pay costs or has been or will be reimbursed for the costs. Those are matters for the Director-General</w:t>
      </w:r>
      <w:r w:rsidR="001A43B2" w:rsidRPr="00D674DF">
        <w:rPr>
          <w:rFonts w:ascii="Arial" w:hAnsi="Arial" w:cs="Arial"/>
          <w:color w:val="000000" w:themeColor="text1"/>
        </w:rPr>
        <w:t xml:space="preserve">: </w:t>
      </w:r>
      <w:r w:rsidR="001A43B2" w:rsidRPr="00D674DF">
        <w:rPr>
          <w:rFonts w:ascii="Arial" w:hAnsi="Arial" w:cs="Arial"/>
          <w:i/>
          <w:iCs/>
          <w:color w:val="000000" w:themeColor="text1"/>
        </w:rPr>
        <w:t xml:space="preserve">Rodden </w:t>
      </w:r>
      <w:r w:rsidR="001A43B2" w:rsidRPr="00D674DF">
        <w:rPr>
          <w:rFonts w:ascii="Arial" w:hAnsi="Arial" w:cs="Arial"/>
          <w:color w:val="000000" w:themeColor="text1"/>
        </w:rPr>
        <w:t>at [117].</w:t>
      </w:r>
    </w:p>
    <w:p w14:paraId="21CA9EC7" w14:textId="7E7A023E" w:rsidR="00A6600E" w:rsidRPr="00D674DF" w:rsidRDefault="00A6600E"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Adverse costs orders (and the possibility of them) play an important role in litigation. Although principally intended to be compensatory, the very possibility of an adverse costs order focuses the mind of the moving party</w:t>
      </w:r>
      <w:r w:rsidRPr="00D674DF">
        <w:rPr>
          <w:rStyle w:val="apple-converted-space"/>
          <w:rFonts w:ascii="Arial" w:hAnsi="Arial" w:cs="Arial"/>
          <w:color w:val="000000" w:themeColor="text1"/>
        </w:rPr>
        <w:t> </w:t>
      </w:r>
      <w:r w:rsidRPr="00D674DF">
        <w:rPr>
          <w:rFonts w:ascii="Arial" w:hAnsi="Arial" w:cs="Arial"/>
          <w:color w:val="000000" w:themeColor="text1"/>
        </w:rPr>
        <w:t>in commencing the proceedings or laying charges: see</w:t>
      </w:r>
      <w:r w:rsidRPr="00D674DF">
        <w:rPr>
          <w:rStyle w:val="apple-converted-space"/>
          <w:rFonts w:ascii="Arial" w:hAnsi="Arial" w:cs="Arial"/>
          <w:color w:val="000000" w:themeColor="text1"/>
        </w:rPr>
        <w:t> </w:t>
      </w:r>
      <w:proofErr w:type="spellStart"/>
      <w:r w:rsidRPr="00D674DF">
        <w:rPr>
          <w:rStyle w:val="Emphasis"/>
          <w:rFonts w:ascii="Arial" w:hAnsi="Arial" w:cs="Arial"/>
          <w:color w:val="000000" w:themeColor="text1"/>
        </w:rPr>
        <w:t>Oshlack</w:t>
      </w:r>
      <w:proofErr w:type="spellEnd"/>
      <w:r w:rsidRPr="00D674DF">
        <w:rPr>
          <w:rStyle w:val="Emphasis"/>
          <w:rFonts w:ascii="Arial" w:hAnsi="Arial" w:cs="Arial"/>
          <w:color w:val="000000" w:themeColor="text1"/>
        </w:rPr>
        <w:t xml:space="preserve"> v Richmond River Council</w:t>
      </w:r>
      <w:r w:rsidRPr="00D674DF">
        <w:rPr>
          <w:rStyle w:val="apple-converted-space"/>
          <w:rFonts w:ascii="Arial" w:hAnsi="Arial" w:cs="Arial"/>
          <w:color w:val="000000" w:themeColor="text1"/>
        </w:rPr>
        <w:t> </w:t>
      </w:r>
      <w:r w:rsidRPr="00D674DF">
        <w:rPr>
          <w:rFonts w:ascii="Arial" w:hAnsi="Arial" w:cs="Arial"/>
          <w:color w:val="000000" w:themeColor="text1"/>
        </w:rPr>
        <w:t>(1998) 193 CLR 72; [1998] HCA 11 at [68] per McHugh J.</w:t>
      </w:r>
      <w:r w:rsidRPr="00D674DF">
        <w:rPr>
          <w:rStyle w:val="apple-converted-space"/>
          <w:rFonts w:ascii="Arial" w:hAnsi="Arial" w:cs="Arial"/>
          <w:color w:val="000000" w:themeColor="text1"/>
        </w:rPr>
        <w:t> </w:t>
      </w:r>
      <w:r w:rsidRPr="00D674DF">
        <w:rPr>
          <w:rFonts w:ascii="Arial" w:hAnsi="Arial" w:cs="Arial"/>
          <w:color w:val="000000" w:themeColor="text1"/>
        </w:rPr>
        <w:t>Although more difficult to obtain in criminal proceedings</w:t>
      </w:r>
      <w:r w:rsidRPr="00D674DF">
        <w:rPr>
          <w:rStyle w:val="apple-converted-space"/>
          <w:rFonts w:ascii="Arial" w:hAnsi="Arial" w:cs="Arial"/>
          <w:color w:val="000000" w:themeColor="text1"/>
        </w:rPr>
        <w:t> </w:t>
      </w:r>
      <w:r w:rsidRPr="00D674DF">
        <w:rPr>
          <w:rFonts w:ascii="Arial" w:hAnsi="Arial" w:cs="Arial"/>
          <w:color w:val="000000" w:themeColor="text1"/>
        </w:rPr>
        <w:t>because of the gateway imposed by s 3(1), the Costs Act represented a significant departure from the common law position that there was to be no recovery of costs in criminal proceedings.</w:t>
      </w:r>
      <w:r w:rsidRPr="00D674DF">
        <w:rPr>
          <w:rStyle w:val="apple-converted-space"/>
          <w:rFonts w:ascii="Arial" w:hAnsi="Arial" w:cs="Arial"/>
          <w:color w:val="000000" w:themeColor="text1"/>
        </w:rPr>
        <w:t> </w:t>
      </w:r>
      <w:r w:rsidRPr="00D674DF">
        <w:rPr>
          <w:rFonts w:ascii="Arial" w:hAnsi="Arial" w:cs="Arial"/>
          <w:b/>
          <w:bCs/>
          <w:color w:val="000000" w:themeColor="text1"/>
        </w:rPr>
        <w:t>Irresponsible and unreasonable prosecutorial decisions may be sanctioned by an adverse order as to costs.</w:t>
      </w:r>
      <w:r w:rsidRPr="00D674DF">
        <w:rPr>
          <w:rFonts w:ascii="Arial" w:hAnsi="Arial" w:cs="Arial"/>
          <w:color w:val="000000" w:themeColor="text1"/>
        </w:rPr>
        <w:t xml:space="preserve"> The construction of the Act favoured by the primary judge removes</w:t>
      </w:r>
      <w:r w:rsidRPr="00D674DF">
        <w:rPr>
          <w:rStyle w:val="apple-converted-space"/>
          <w:rFonts w:ascii="Arial" w:hAnsi="Arial" w:cs="Arial"/>
          <w:color w:val="000000" w:themeColor="text1"/>
        </w:rPr>
        <w:t> </w:t>
      </w:r>
      <w:r w:rsidRPr="00D674DF">
        <w:rPr>
          <w:rFonts w:ascii="Arial" w:hAnsi="Arial" w:cs="Arial"/>
          <w:color w:val="000000" w:themeColor="text1"/>
        </w:rPr>
        <w:t>this salutary potential</w:t>
      </w:r>
      <w:r w:rsidRPr="00D674DF">
        <w:rPr>
          <w:rStyle w:val="apple-converted-space"/>
          <w:rFonts w:ascii="Arial" w:hAnsi="Arial" w:cs="Arial"/>
          <w:color w:val="000000" w:themeColor="text1"/>
        </w:rPr>
        <w:t> </w:t>
      </w:r>
      <w:r w:rsidRPr="00D674DF">
        <w:rPr>
          <w:rFonts w:ascii="Arial" w:hAnsi="Arial" w:cs="Arial"/>
          <w:color w:val="000000" w:themeColor="text1"/>
        </w:rPr>
        <w:t>aspect of its operation</w:t>
      </w:r>
      <w:r w:rsidRPr="00D674DF">
        <w:rPr>
          <w:rStyle w:val="apple-converted-space"/>
          <w:rFonts w:ascii="Arial" w:hAnsi="Arial" w:cs="Arial"/>
          <w:color w:val="000000" w:themeColor="text1"/>
        </w:rPr>
        <w:t> </w:t>
      </w:r>
      <w:r w:rsidRPr="00D674DF">
        <w:rPr>
          <w:rFonts w:ascii="Arial" w:hAnsi="Arial" w:cs="Arial"/>
          <w:color w:val="000000" w:themeColor="text1"/>
        </w:rPr>
        <w:t>in what will be a not insignificant number of criminal trials where an accused is fully funded by legal aid</w:t>
      </w:r>
      <w:r w:rsidR="001A43B2" w:rsidRPr="00D674DF">
        <w:rPr>
          <w:rFonts w:ascii="Arial" w:hAnsi="Arial" w:cs="Arial"/>
          <w:color w:val="000000" w:themeColor="text1"/>
        </w:rPr>
        <w:t xml:space="preserve">: </w:t>
      </w:r>
      <w:r w:rsidR="001A43B2" w:rsidRPr="00D674DF">
        <w:rPr>
          <w:rFonts w:ascii="Arial" w:hAnsi="Arial" w:cs="Arial"/>
          <w:i/>
          <w:iCs/>
          <w:color w:val="000000" w:themeColor="text1"/>
        </w:rPr>
        <w:t xml:space="preserve">Rodden </w:t>
      </w:r>
      <w:r w:rsidR="001A43B2" w:rsidRPr="00D674DF">
        <w:rPr>
          <w:rFonts w:ascii="Arial" w:hAnsi="Arial" w:cs="Arial"/>
          <w:color w:val="000000" w:themeColor="text1"/>
        </w:rPr>
        <w:t>at [118]</w:t>
      </w:r>
    </w:p>
    <w:p w14:paraId="1B9F0217" w14:textId="3B4E7715" w:rsidR="005356B2" w:rsidRPr="00D674DF" w:rsidRDefault="00A6600E" w:rsidP="00FC0330">
      <w:pPr>
        <w:pStyle w:val="ListParagraph"/>
        <w:numPr>
          <w:ilvl w:val="0"/>
          <w:numId w:val="1"/>
        </w:numPr>
        <w:snapToGrid w:val="0"/>
        <w:spacing w:before="240" w:after="240" w:line="360" w:lineRule="auto"/>
        <w:ind w:left="567" w:hanging="567"/>
        <w:contextualSpacing w:val="0"/>
        <w:rPr>
          <w:rFonts w:ascii="Arial" w:hAnsi="Arial" w:cs="Arial"/>
          <w:color w:val="000000" w:themeColor="text1"/>
        </w:rPr>
      </w:pPr>
      <w:r w:rsidRPr="00D674DF">
        <w:rPr>
          <w:rFonts w:ascii="Arial" w:hAnsi="Arial" w:cs="Arial"/>
          <w:color w:val="000000" w:themeColor="text1"/>
        </w:rPr>
        <w:t>There is no obvious reason why the expression</w:t>
      </w:r>
      <w:r w:rsidRPr="00D674DF">
        <w:rPr>
          <w:rStyle w:val="apple-converted-space"/>
          <w:rFonts w:ascii="Arial" w:hAnsi="Arial" w:cs="Arial"/>
          <w:color w:val="000000" w:themeColor="text1"/>
        </w:rPr>
        <w:t> </w:t>
      </w:r>
      <w:r w:rsidRPr="00D674DF">
        <w:rPr>
          <w:rFonts w:ascii="Arial" w:hAnsi="Arial" w:cs="Arial"/>
          <w:color w:val="000000" w:themeColor="text1"/>
        </w:rPr>
        <w:t>“costs incurred in the proceedings”</w:t>
      </w:r>
      <w:r w:rsidRPr="00D674DF">
        <w:rPr>
          <w:rStyle w:val="apple-converted-space"/>
          <w:rFonts w:ascii="Arial" w:hAnsi="Arial" w:cs="Arial"/>
          <w:color w:val="000000" w:themeColor="text1"/>
        </w:rPr>
        <w:t> </w:t>
      </w:r>
      <w:r w:rsidRPr="00D674DF">
        <w:rPr>
          <w:rFonts w:ascii="Arial" w:hAnsi="Arial" w:cs="Arial"/>
          <w:color w:val="000000" w:themeColor="text1"/>
        </w:rPr>
        <w:t>should be so confined and not extend to or include</w:t>
      </w:r>
      <w:r w:rsidRPr="00D674DF">
        <w:rPr>
          <w:rStyle w:val="apple-converted-space"/>
          <w:rFonts w:ascii="Arial" w:hAnsi="Arial" w:cs="Arial"/>
          <w:color w:val="000000" w:themeColor="text1"/>
        </w:rPr>
        <w:t> </w:t>
      </w:r>
      <w:r w:rsidRPr="00D674DF">
        <w:rPr>
          <w:rFonts w:ascii="Arial" w:hAnsi="Arial" w:cs="Arial"/>
          <w:color w:val="000000" w:themeColor="text1"/>
        </w:rPr>
        <w:t>“costs incurred in the proceedings</w:t>
      </w:r>
      <w:r w:rsidRPr="00D674DF">
        <w:rPr>
          <w:rStyle w:val="apple-converted-space"/>
          <w:rFonts w:ascii="Arial" w:hAnsi="Arial" w:cs="Arial"/>
          <w:color w:val="000000" w:themeColor="text1"/>
        </w:rPr>
        <w:t> </w:t>
      </w:r>
      <w:r w:rsidRPr="00D674DF">
        <w:rPr>
          <w:rFonts w:ascii="Arial" w:hAnsi="Arial" w:cs="Arial"/>
          <w:color w:val="000000" w:themeColor="text1"/>
        </w:rPr>
        <w:t>by</w:t>
      </w:r>
      <w:r w:rsidRPr="00D674DF">
        <w:rPr>
          <w:rStyle w:val="apple-converted-space"/>
          <w:rFonts w:ascii="Arial" w:hAnsi="Arial" w:cs="Arial"/>
          <w:color w:val="000000" w:themeColor="text1"/>
        </w:rPr>
        <w:t> </w:t>
      </w:r>
      <w:r w:rsidRPr="00D674DF">
        <w:rPr>
          <w:rStyle w:val="Emphasis"/>
          <w:rFonts w:ascii="Arial" w:hAnsi="Arial" w:cs="Arial"/>
          <w:color w:val="000000" w:themeColor="text1"/>
        </w:rPr>
        <w:t>or on behalf of</w:t>
      </w:r>
      <w:r w:rsidRPr="00D674DF">
        <w:rPr>
          <w:rStyle w:val="apple-converted-space"/>
          <w:rFonts w:ascii="Arial" w:hAnsi="Arial" w:cs="Arial"/>
          <w:color w:val="000000" w:themeColor="text1"/>
        </w:rPr>
        <w:t> </w:t>
      </w:r>
      <w:r w:rsidRPr="00D674DF">
        <w:rPr>
          <w:rFonts w:ascii="Arial" w:hAnsi="Arial" w:cs="Arial"/>
          <w:color w:val="000000" w:themeColor="text1"/>
        </w:rPr>
        <w:t xml:space="preserve">the person who has been acquitted”. </w:t>
      </w:r>
      <w:r w:rsidRPr="00D674DF">
        <w:rPr>
          <w:rFonts w:ascii="Arial" w:hAnsi="Arial" w:cs="Arial"/>
          <w:b/>
          <w:bCs/>
          <w:color w:val="000000" w:themeColor="text1"/>
        </w:rPr>
        <w:t>After all,</w:t>
      </w:r>
      <w:r w:rsidRPr="00D674DF">
        <w:rPr>
          <w:rStyle w:val="apple-converted-space"/>
          <w:rFonts w:ascii="Arial" w:hAnsi="Arial" w:cs="Arial"/>
          <w:b/>
          <w:bCs/>
          <w:color w:val="000000" w:themeColor="text1"/>
        </w:rPr>
        <w:t> </w:t>
      </w:r>
      <w:r w:rsidRPr="00D674DF">
        <w:rPr>
          <w:rFonts w:ascii="Arial" w:hAnsi="Arial" w:cs="Arial"/>
          <w:b/>
          <w:bCs/>
          <w:color w:val="000000" w:themeColor="text1"/>
        </w:rPr>
        <w:t>it is not uncommon for a litigant to have his or her costs paid for or undertaken to be paid for</w:t>
      </w:r>
      <w:r w:rsidRPr="00D674DF">
        <w:rPr>
          <w:rStyle w:val="apple-converted-space"/>
          <w:rFonts w:ascii="Arial" w:hAnsi="Arial" w:cs="Arial"/>
          <w:b/>
          <w:bCs/>
          <w:color w:val="000000" w:themeColor="text1"/>
        </w:rPr>
        <w:t> </w:t>
      </w:r>
      <w:r w:rsidRPr="00D674DF">
        <w:rPr>
          <w:rFonts w:ascii="Arial" w:hAnsi="Arial" w:cs="Arial"/>
          <w:b/>
          <w:bCs/>
          <w:color w:val="000000" w:themeColor="text1"/>
        </w:rPr>
        <w:t>on his or her behalf, whether by an employer,</w:t>
      </w:r>
      <w:r w:rsidRPr="00D674DF">
        <w:rPr>
          <w:rStyle w:val="apple-converted-space"/>
          <w:rFonts w:ascii="Arial" w:hAnsi="Arial" w:cs="Arial"/>
          <w:b/>
          <w:bCs/>
          <w:color w:val="000000" w:themeColor="text1"/>
        </w:rPr>
        <w:t> </w:t>
      </w:r>
      <w:r w:rsidRPr="00D674DF">
        <w:rPr>
          <w:rFonts w:ascii="Arial" w:hAnsi="Arial" w:cs="Arial"/>
          <w:b/>
          <w:bCs/>
          <w:color w:val="000000" w:themeColor="text1"/>
        </w:rPr>
        <w:t>trade union,</w:t>
      </w:r>
      <w:r w:rsidRPr="00D674DF">
        <w:rPr>
          <w:rStyle w:val="apple-converted-space"/>
          <w:rFonts w:ascii="Arial" w:hAnsi="Arial" w:cs="Arial"/>
          <w:b/>
          <w:bCs/>
          <w:color w:val="000000" w:themeColor="text1"/>
        </w:rPr>
        <w:t> </w:t>
      </w:r>
      <w:r w:rsidRPr="00D674DF">
        <w:rPr>
          <w:rFonts w:ascii="Arial" w:hAnsi="Arial" w:cs="Arial"/>
          <w:b/>
          <w:bCs/>
          <w:color w:val="000000" w:themeColor="text1"/>
        </w:rPr>
        <w:t>insurer, family member or supporter</w:t>
      </w:r>
      <w:r w:rsidRPr="00D674DF">
        <w:rPr>
          <w:rFonts w:ascii="Arial" w:hAnsi="Arial" w:cs="Arial"/>
          <w:color w:val="000000" w:themeColor="text1"/>
        </w:rPr>
        <w:t>:</w:t>
      </w:r>
      <w:r w:rsidRPr="00D674DF">
        <w:rPr>
          <w:rStyle w:val="apple-converted-space"/>
          <w:rFonts w:ascii="Arial" w:hAnsi="Arial" w:cs="Arial"/>
          <w:color w:val="000000" w:themeColor="text1"/>
        </w:rPr>
        <w:t> </w:t>
      </w:r>
      <w:r w:rsidRPr="00D674DF">
        <w:rPr>
          <w:rFonts w:ascii="Arial" w:hAnsi="Arial" w:cs="Arial"/>
          <w:color w:val="000000" w:themeColor="text1"/>
        </w:rPr>
        <w:t>cf.</w:t>
      </w:r>
      <w:r w:rsidRPr="00D674DF">
        <w:rPr>
          <w:rStyle w:val="apple-converted-space"/>
          <w:rFonts w:ascii="Arial" w:hAnsi="Arial" w:cs="Arial"/>
          <w:color w:val="000000" w:themeColor="text1"/>
        </w:rPr>
        <w:t> </w:t>
      </w:r>
      <w:r w:rsidRPr="00D674DF">
        <w:rPr>
          <w:rStyle w:val="Emphasis"/>
          <w:rFonts w:ascii="Arial" w:hAnsi="Arial" w:cs="Arial"/>
          <w:color w:val="000000" w:themeColor="text1"/>
        </w:rPr>
        <w:t>Wentworth v Rogers</w:t>
      </w:r>
      <w:r w:rsidRPr="00D674DF">
        <w:rPr>
          <w:rStyle w:val="apple-converted-space"/>
          <w:rFonts w:ascii="Arial" w:hAnsi="Arial" w:cs="Arial"/>
          <w:color w:val="000000" w:themeColor="text1"/>
        </w:rPr>
        <w:t> </w:t>
      </w:r>
      <w:r w:rsidRPr="00D674DF">
        <w:rPr>
          <w:rFonts w:ascii="Arial" w:hAnsi="Arial" w:cs="Arial"/>
          <w:color w:val="000000" w:themeColor="text1"/>
        </w:rPr>
        <w:t>(2006) 66 NSWLR 474;</w:t>
      </w:r>
      <w:r w:rsidRPr="00D674DF">
        <w:rPr>
          <w:rStyle w:val="apple-converted-space"/>
          <w:rFonts w:ascii="Arial" w:hAnsi="Arial" w:cs="Arial"/>
          <w:color w:val="000000" w:themeColor="text1"/>
        </w:rPr>
        <w:t> </w:t>
      </w:r>
      <w:r w:rsidRPr="00D674DF">
        <w:rPr>
          <w:rFonts w:ascii="Arial" w:hAnsi="Arial" w:cs="Arial"/>
          <w:color w:val="000000" w:themeColor="text1"/>
        </w:rPr>
        <w:t>[2006] NSWCA 145</w:t>
      </w:r>
      <w:r w:rsidRPr="00D674DF">
        <w:rPr>
          <w:rStyle w:val="apple-converted-space"/>
          <w:rFonts w:ascii="Arial" w:hAnsi="Arial" w:cs="Arial"/>
          <w:color w:val="000000" w:themeColor="text1"/>
        </w:rPr>
        <w:t> </w:t>
      </w:r>
      <w:r w:rsidRPr="00D674DF">
        <w:rPr>
          <w:rFonts w:ascii="Arial" w:hAnsi="Arial" w:cs="Arial"/>
          <w:color w:val="000000" w:themeColor="text1"/>
        </w:rPr>
        <w:t>at [104].</w:t>
      </w:r>
      <w:r w:rsidRPr="00D674DF">
        <w:rPr>
          <w:rStyle w:val="apple-converted-space"/>
          <w:rFonts w:ascii="Arial" w:hAnsi="Arial" w:cs="Arial"/>
          <w:color w:val="000000" w:themeColor="text1"/>
        </w:rPr>
        <w:t> </w:t>
      </w:r>
      <w:r w:rsidRPr="00D674DF">
        <w:rPr>
          <w:rFonts w:ascii="Arial" w:hAnsi="Arial" w:cs="Arial"/>
          <w:b/>
          <w:bCs/>
          <w:color w:val="000000" w:themeColor="text1"/>
        </w:rPr>
        <w:t>That will not ordinarily result in the denial of an award of costs</w:t>
      </w:r>
      <w:r w:rsidRPr="00D674DF">
        <w:rPr>
          <w:rFonts w:ascii="Arial" w:hAnsi="Arial" w:cs="Arial"/>
          <w:color w:val="000000" w:themeColor="text1"/>
        </w:rPr>
        <w:t>. Indeed, in many cases, the detail of a party’s funding arrangements will be entirely unknown to the Court and the other side</w:t>
      </w:r>
      <w:r w:rsidR="001A43B2" w:rsidRPr="00D674DF">
        <w:rPr>
          <w:rFonts w:ascii="Arial" w:hAnsi="Arial" w:cs="Arial"/>
          <w:color w:val="000000" w:themeColor="text1"/>
        </w:rPr>
        <w:t xml:space="preserve">: </w:t>
      </w:r>
      <w:r w:rsidR="001A43B2" w:rsidRPr="00D674DF">
        <w:rPr>
          <w:rFonts w:ascii="Arial" w:hAnsi="Arial" w:cs="Arial"/>
          <w:i/>
          <w:iCs/>
          <w:color w:val="000000" w:themeColor="text1"/>
        </w:rPr>
        <w:t>Rodden</w:t>
      </w:r>
      <w:r w:rsidR="001A43B2" w:rsidRPr="00D674DF">
        <w:rPr>
          <w:rFonts w:ascii="Arial" w:hAnsi="Arial" w:cs="Arial"/>
          <w:color w:val="000000" w:themeColor="text1"/>
        </w:rPr>
        <w:t xml:space="preserve"> at [121].</w:t>
      </w:r>
    </w:p>
    <w:p w14:paraId="61C60180" w14:textId="004BA8F9" w:rsidR="00653EC9" w:rsidRPr="00D674DF" w:rsidRDefault="009949B1" w:rsidP="00A03A03">
      <w:pPr>
        <w:pStyle w:val="Heading1"/>
        <w:snapToGrid w:val="0"/>
        <w:spacing w:before="240" w:after="240" w:line="360" w:lineRule="auto"/>
        <w:rPr>
          <w:color w:val="000000" w:themeColor="text1"/>
        </w:rPr>
      </w:pPr>
      <w:r w:rsidRPr="00D674DF">
        <w:rPr>
          <w:i/>
          <w:iCs/>
          <w:color w:val="000000" w:themeColor="text1"/>
        </w:rPr>
        <w:lastRenderedPageBreak/>
        <w:t>Just and Reasonable</w:t>
      </w:r>
    </w:p>
    <w:p w14:paraId="12242BF6" w14:textId="0706265A" w:rsidR="009A743C" w:rsidRPr="00D674DF" w:rsidRDefault="009A743C" w:rsidP="008569C1">
      <w:pPr>
        <w:pStyle w:val="ListParagraph"/>
        <w:numPr>
          <w:ilvl w:val="0"/>
          <w:numId w:val="1"/>
        </w:numPr>
        <w:snapToGrid w:val="0"/>
        <w:spacing w:before="240" w:after="240" w:line="360" w:lineRule="auto"/>
        <w:ind w:left="567" w:hanging="567"/>
        <w:contextualSpacing w:val="0"/>
        <w:rPr>
          <w:color w:val="000000" w:themeColor="text1"/>
        </w:rPr>
      </w:pPr>
      <w:r w:rsidRPr="00D674DF">
        <w:rPr>
          <w:rFonts w:ascii="Arial" w:eastAsia="Arial" w:hAnsi="Arial" w:cs="Arial"/>
          <w:color w:val="000000" w:themeColor="text1"/>
        </w:rPr>
        <w:t xml:space="preserve">Section 2 of the </w:t>
      </w:r>
      <w:r w:rsidR="00B64260" w:rsidRPr="00D674DF">
        <w:rPr>
          <w:rFonts w:ascii="Arial" w:hAnsi="Arial" w:cs="Arial"/>
          <w:color w:val="000000" w:themeColor="text1"/>
        </w:rPr>
        <w:t>Costs in Criminal Cases Act 1967 (NSW) (“</w:t>
      </w:r>
      <w:r w:rsidR="00B64260" w:rsidRPr="00D674DF">
        <w:rPr>
          <w:rFonts w:ascii="Arial" w:hAnsi="Arial" w:cs="Arial"/>
          <w:b/>
          <w:bCs/>
          <w:color w:val="000000" w:themeColor="text1"/>
        </w:rPr>
        <w:t>the Act</w:t>
      </w:r>
      <w:r w:rsidR="00B64260" w:rsidRPr="00D674DF">
        <w:rPr>
          <w:rFonts w:ascii="Arial" w:hAnsi="Arial" w:cs="Arial"/>
          <w:color w:val="000000" w:themeColor="text1"/>
        </w:rPr>
        <w:t xml:space="preserve">”) </w:t>
      </w:r>
      <w:r w:rsidRPr="00D674DF">
        <w:rPr>
          <w:rFonts w:ascii="Arial" w:eastAsia="Arial" w:hAnsi="Arial" w:cs="Arial"/>
          <w:color w:val="000000" w:themeColor="text1"/>
        </w:rPr>
        <w:t xml:space="preserve">relevantly provides:  </w:t>
      </w:r>
    </w:p>
    <w:p w14:paraId="10B73371" w14:textId="719E0BC8" w:rsidR="009A743C" w:rsidRPr="00D674DF" w:rsidRDefault="009A743C" w:rsidP="00A03A03">
      <w:pPr>
        <w:pStyle w:val="Heading3"/>
        <w:snapToGrid w:val="0"/>
        <w:spacing w:before="240" w:after="240" w:line="360" w:lineRule="auto"/>
        <w:ind w:left="1145"/>
        <w:rPr>
          <w:color w:val="000000" w:themeColor="text1"/>
        </w:rPr>
      </w:pPr>
      <w:proofErr w:type="gramStart"/>
      <w:r w:rsidRPr="00D674DF">
        <w:rPr>
          <w:color w:val="000000" w:themeColor="text1"/>
        </w:rPr>
        <w:t>2  Certificate</w:t>
      </w:r>
      <w:proofErr w:type="gramEnd"/>
      <w:r w:rsidRPr="00D674DF">
        <w:rPr>
          <w:color w:val="000000" w:themeColor="text1"/>
        </w:rPr>
        <w:t xml:space="preserve"> may be granted  </w:t>
      </w:r>
    </w:p>
    <w:p w14:paraId="5F3D3CEE" w14:textId="77777777" w:rsidR="009A743C" w:rsidRPr="00D674DF" w:rsidRDefault="009A743C" w:rsidP="00A03A03">
      <w:pPr>
        <w:numPr>
          <w:ilvl w:val="0"/>
          <w:numId w:val="2"/>
        </w:numPr>
        <w:snapToGrid w:val="0"/>
        <w:spacing w:before="240" w:after="240" w:line="360" w:lineRule="auto"/>
        <w:ind w:left="2284" w:right="689" w:hanging="566"/>
        <w:jc w:val="both"/>
        <w:rPr>
          <w:color w:val="000000" w:themeColor="text1"/>
        </w:rPr>
      </w:pPr>
      <w:r w:rsidRPr="00D674DF">
        <w:rPr>
          <w:rFonts w:ascii="Arial" w:eastAsia="Arial" w:hAnsi="Arial" w:cs="Arial"/>
          <w:i/>
          <w:color w:val="000000" w:themeColor="text1"/>
        </w:rPr>
        <w:t xml:space="preserve">The Court or Judge or Magistrate in any proceedings relating to any offence, whether punishable summarily or upon indictment, may: </w:t>
      </w:r>
      <w:r w:rsidRPr="00D674DF">
        <w:rPr>
          <w:rFonts w:ascii="Arial" w:eastAsia="Arial" w:hAnsi="Arial" w:cs="Arial"/>
          <w:color w:val="000000" w:themeColor="text1"/>
        </w:rPr>
        <w:t xml:space="preserve"> </w:t>
      </w:r>
    </w:p>
    <w:p w14:paraId="4B577038" w14:textId="77777777" w:rsidR="009A743C" w:rsidRPr="00D674DF" w:rsidRDefault="009A743C" w:rsidP="00A03A03">
      <w:pPr>
        <w:snapToGrid w:val="0"/>
        <w:spacing w:before="240" w:after="240" w:line="360" w:lineRule="auto"/>
        <w:ind w:left="2852" w:right="689" w:hanging="567"/>
        <w:jc w:val="both"/>
        <w:rPr>
          <w:color w:val="000000" w:themeColor="text1"/>
        </w:rPr>
      </w:pPr>
      <w:r w:rsidRPr="00D674DF">
        <w:rPr>
          <w:rFonts w:ascii="Arial" w:eastAsia="Arial" w:hAnsi="Arial" w:cs="Arial"/>
          <w:i/>
          <w:color w:val="000000" w:themeColor="text1"/>
        </w:rPr>
        <w:t xml:space="preserve">(a)  where, after the commencement of a trial in the proceedings, a defendant is acquitted or discharged in relation to the offence concerned, or a direction is given by the Director of Public Prosecutions that no further proceedings be taken, or </w:t>
      </w:r>
      <w:r w:rsidRPr="00D674DF">
        <w:rPr>
          <w:rFonts w:ascii="Arial" w:eastAsia="Arial" w:hAnsi="Arial" w:cs="Arial"/>
          <w:color w:val="000000" w:themeColor="text1"/>
        </w:rPr>
        <w:t xml:space="preserve"> </w:t>
      </w:r>
    </w:p>
    <w:p w14:paraId="7478F48C" w14:textId="77777777" w:rsidR="009A743C" w:rsidRPr="00D674DF" w:rsidRDefault="009A743C" w:rsidP="00A03A03">
      <w:pPr>
        <w:snapToGrid w:val="0"/>
        <w:spacing w:before="240" w:after="240" w:line="360" w:lineRule="auto"/>
        <w:ind w:left="2862" w:right="689" w:hanging="10"/>
        <w:jc w:val="both"/>
        <w:rPr>
          <w:color w:val="000000" w:themeColor="text1"/>
        </w:rPr>
      </w:pPr>
      <w:r w:rsidRPr="00D674DF">
        <w:rPr>
          <w:rFonts w:ascii="Arial" w:eastAsia="Arial" w:hAnsi="Arial" w:cs="Arial"/>
          <w:i/>
          <w:color w:val="000000" w:themeColor="text1"/>
        </w:rPr>
        <w:t xml:space="preserve">... </w:t>
      </w:r>
      <w:r w:rsidRPr="00D674DF">
        <w:rPr>
          <w:rFonts w:ascii="Arial" w:eastAsia="Arial" w:hAnsi="Arial" w:cs="Arial"/>
          <w:color w:val="000000" w:themeColor="text1"/>
        </w:rPr>
        <w:t xml:space="preserve"> </w:t>
      </w:r>
    </w:p>
    <w:p w14:paraId="5F4AA7C0" w14:textId="026803FB" w:rsidR="009A743C" w:rsidRPr="00D674DF" w:rsidRDefault="009A743C" w:rsidP="00A03A03">
      <w:pPr>
        <w:snapToGrid w:val="0"/>
        <w:spacing w:before="240" w:after="240" w:line="360" w:lineRule="auto"/>
        <w:ind w:left="2295" w:right="689" w:hanging="10"/>
        <w:jc w:val="both"/>
        <w:rPr>
          <w:color w:val="000000" w:themeColor="text1"/>
        </w:rPr>
      </w:pPr>
      <w:r w:rsidRPr="00D674DF">
        <w:rPr>
          <w:rFonts w:ascii="Arial" w:eastAsia="Arial" w:hAnsi="Arial" w:cs="Arial"/>
          <w:i/>
          <w:color w:val="000000" w:themeColor="text1"/>
        </w:rPr>
        <w:t>grant to that defendant a certificate under this Act, specifying the matters referred to in section 3 and relating to those proceeding</w:t>
      </w:r>
      <w:r w:rsidR="00E335A9" w:rsidRPr="00D674DF">
        <w:rPr>
          <w:rFonts w:ascii="Arial" w:eastAsia="Arial" w:hAnsi="Arial" w:cs="Arial"/>
          <w:i/>
          <w:color w:val="000000" w:themeColor="text1"/>
        </w:rPr>
        <w:t>s</w:t>
      </w:r>
      <w:r w:rsidR="007362B3" w:rsidRPr="00D674DF">
        <w:rPr>
          <w:rFonts w:ascii="Arial" w:eastAsia="Arial" w:hAnsi="Arial" w:cs="Arial"/>
          <w:i/>
          <w:color w:val="000000" w:themeColor="text1"/>
        </w:rPr>
        <w:t>.</w:t>
      </w:r>
      <w:r w:rsidR="00E335A9" w:rsidRPr="00D674DF">
        <w:rPr>
          <w:rFonts w:ascii="Arial" w:eastAsia="Arial" w:hAnsi="Arial" w:cs="Arial"/>
          <w:i/>
          <w:color w:val="000000" w:themeColor="text1"/>
        </w:rPr>
        <w:t xml:space="preserve"> </w:t>
      </w:r>
      <w:r w:rsidRPr="00D674DF">
        <w:rPr>
          <w:rFonts w:ascii="Arial" w:eastAsia="Arial" w:hAnsi="Arial" w:cs="Arial"/>
          <w:i/>
          <w:color w:val="000000" w:themeColor="text1"/>
        </w:rPr>
        <w:t xml:space="preserve"> </w:t>
      </w:r>
      <w:r w:rsidRPr="00D674DF">
        <w:rPr>
          <w:rFonts w:ascii="Arial" w:eastAsia="Arial" w:hAnsi="Arial" w:cs="Arial"/>
          <w:color w:val="000000" w:themeColor="text1"/>
        </w:rPr>
        <w:t xml:space="preserve"> </w:t>
      </w:r>
    </w:p>
    <w:p w14:paraId="4E126B8F" w14:textId="77777777" w:rsidR="009A743C" w:rsidRPr="00D674DF" w:rsidRDefault="009A743C" w:rsidP="00A03A03">
      <w:pPr>
        <w:numPr>
          <w:ilvl w:val="0"/>
          <w:numId w:val="2"/>
        </w:numPr>
        <w:snapToGrid w:val="0"/>
        <w:spacing w:before="240" w:after="240" w:line="360" w:lineRule="auto"/>
        <w:ind w:left="2284" w:right="689" w:hanging="566"/>
        <w:jc w:val="both"/>
        <w:rPr>
          <w:color w:val="000000" w:themeColor="text1"/>
        </w:rPr>
      </w:pPr>
      <w:r w:rsidRPr="00D674DF">
        <w:rPr>
          <w:rFonts w:ascii="Arial" w:eastAsia="Arial" w:hAnsi="Arial" w:cs="Arial"/>
          <w:i/>
          <w:color w:val="000000" w:themeColor="text1"/>
        </w:rPr>
        <w:t xml:space="preserve">For the avoidance of doubt, a certificate may be granted in accordance with subsection (1)(a) following an acquittal or discharge of a defendant at any time during a trial, whether a hearing on the merits of the proceedings has occurred or not. </w:t>
      </w:r>
      <w:r w:rsidRPr="00D674DF">
        <w:rPr>
          <w:rFonts w:ascii="Arial" w:eastAsia="Arial" w:hAnsi="Arial" w:cs="Arial"/>
          <w:color w:val="000000" w:themeColor="text1"/>
        </w:rPr>
        <w:t xml:space="preserve"> </w:t>
      </w:r>
    </w:p>
    <w:p w14:paraId="33B51BA0" w14:textId="77777777" w:rsidR="009A743C" w:rsidRPr="00D674DF" w:rsidRDefault="009A743C" w:rsidP="00A03A03">
      <w:pPr>
        <w:snapToGrid w:val="0"/>
        <w:spacing w:before="240" w:after="240" w:line="360" w:lineRule="auto"/>
        <w:ind w:left="2295" w:right="689" w:hanging="10"/>
        <w:jc w:val="both"/>
        <w:rPr>
          <w:color w:val="000000" w:themeColor="text1"/>
        </w:rPr>
      </w:pPr>
      <w:r w:rsidRPr="00D674DF">
        <w:rPr>
          <w:rFonts w:ascii="Arial" w:eastAsia="Arial" w:hAnsi="Arial" w:cs="Arial"/>
          <w:i/>
          <w:color w:val="000000" w:themeColor="text1"/>
        </w:rPr>
        <w:t xml:space="preserve">... </w:t>
      </w:r>
      <w:r w:rsidRPr="00D674DF">
        <w:rPr>
          <w:rFonts w:ascii="Arial" w:eastAsia="Arial" w:hAnsi="Arial" w:cs="Arial"/>
          <w:color w:val="000000" w:themeColor="text1"/>
        </w:rPr>
        <w:t xml:space="preserve"> </w:t>
      </w:r>
    </w:p>
    <w:p w14:paraId="45F19853" w14:textId="6B5DC43E" w:rsidR="009A743C" w:rsidRPr="00D674DF" w:rsidRDefault="009A743C" w:rsidP="00F044B4">
      <w:pPr>
        <w:pStyle w:val="ListParagraph"/>
        <w:numPr>
          <w:ilvl w:val="0"/>
          <w:numId w:val="1"/>
        </w:numPr>
        <w:tabs>
          <w:tab w:val="center" w:pos="3210"/>
        </w:tabs>
        <w:snapToGrid w:val="0"/>
        <w:spacing w:before="240" w:after="240" w:line="360" w:lineRule="auto"/>
        <w:rPr>
          <w:rFonts w:ascii="Arial" w:eastAsia="Arial" w:hAnsi="Arial" w:cs="Arial"/>
          <w:color w:val="000000" w:themeColor="text1"/>
        </w:rPr>
      </w:pPr>
      <w:r w:rsidRPr="00D674DF">
        <w:rPr>
          <w:rFonts w:ascii="Arial" w:eastAsia="Arial" w:hAnsi="Arial" w:cs="Arial"/>
          <w:color w:val="000000" w:themeColor="text1"/>
        </w:rPr>
        <w:t xml:space="preserve">The form of the certificate is provided in </w:t>
      </w:r>
      <w:r w:rsidR="00E335A9" w:rsidRPr="00D674DF">
        <w:rPr>
          <w:rFonts w:ascii="Arial" w:eastAsia="Arial" w:hAnsi="Arial" w:cs="Arial"/>
          <w:color w:val="000000" w:themeColor="text1"/>
        </w:rPr>
        <w:t xml:space="preserve">section </w:t>
      </w:r>
      <w:r w:rsidRPr="00D674DF">
        <w:rPr>
          <w:rFonts w:ascii="Arial" w:eastAsia="Arial" w:hAnsi="Arial" w:cs="Arial"/>
          <w:color w:val="000000" w:themeColor="text1"/>
        </w:rPr>
        <w:t xml:space="preserve">3 of the Act: </w:t>
      </w:r>
    </w:p>
    <w:p w14:paraId="606D81C4" w14:textId="77777777" w:rsidR="009A743C" w:rsidRPr="00D674DF" w:rsidRDefault="009A743C" w:rsidP="00A03A03">
      <w:pPr>
        <w:pStyle w:val="Heading3"/>
        <w:snapToGrid w:val="0"/>
        <w:spacing w:before="240" w:after="240" w:line="360" w:lineRule="auto"/>
        <w:ind w:left="1145"/>
        <w:rPr>
          <w:color w:val="000000" w:themeColor="text1"/>
        </w:rPr>
      </w:pPr>
      <w:r w:rsidRPr="00D674DF">
        <w:rPr>
          <w:color w:val="000000" w:themeColor="text1"/>
        </w:rPr>
        <w:t xml:space="preserve">3 Form of Certificate  </w:t>
      </w:r>
    </w:p>
    <w:p w14:paraId="64181F55" w14:textId="77777777" w:rsidR="009A743C" w:rsidRPr="00D674DF" w:rsidRDefault="009A743C" w:rsidP="00A03A03">
      <w:pPr>
        <w:snapToGrid w:val="0"/>
        <w:spacing w:before="240" w:after="240" w:line="360" w:lineRule="auto"/>
        <w:ind w:left="2284" w:right="689" w:hanging="566"/>
        <w:jc w:val="both"/>
        <w:rPr>
          <w:color w:val="000000" w:themeColor="text1"/>
        </w:rPr>
      </w:pPr>
      <w:r w:rsidRPr="00D674DF">
        <w:rPr>
          <w:rFonts w:ascii="Arial" w:eastAsia="Arial" w:hAnsi="Arial" w:cs="Arial"/>
          <w:i/>
          <w:color w:val="000000" w:themeColor="text1"/>
        </w:rPr>
        <w:t xml:space="preserve">(1)  A certificate granted under this Act shall specify that, in the opinion of the Court or Judge or Magistrate granting the </w:t>
      </w:r>
    </w:p>
    <w:p w14:paraId="0C76E5A3" w14:textId="77777777" w:rsidR="009A743C" w:rsidRPr="00D674DF" w:rsidRDefault="009A743C" w:rsidP="00A03A03">
      <w:pPr>
        <w:snapToGrid w:val="0"/>
        <w:spacing w:before="240" w:after="240" w:line="360" w:lineRule="auto"/>
        <w:ind w:left="2295" w:right="689" w:hanging="10"/>
        <w:jc w:val="both"/>
        <w:rPr>
          <w:color w:val="000000" w:themeColor="text1"/>
        </w:rPr>
      </w:pPr>
      <w:r w:rsidRPr="00D674DF">
        <w:rPr>
          <w:rFonts w:ascii="Arial" w:eastAsia="Arial" w:hAnsi="Arial" w:cs="Arial"/>
          <w:i/>
          <w:color w:val="000000" w:themeColor="text1"/>
        </w:rPr>
        <w:t xml:space="preserve">Certificate: </w:t>
      </w:r>
      <w:r w:rsidRPr="00D674DF">
        <w:rPr>
          <w:rFonts w:ascii="Arial" w:eastAsia="Arial" w:hAnsi="Arial" w:cs="Arial"/>
          <w:color w:val="000000" w:themeColor="text1"/>
        </w:rPr>
        <w:t xml:space="preserve"> </w:t>
      </w:r>
    </w:p>
    <w:p w14:paraId="485444F4" w14:textId="77777777" w:rsidR="009A743C" w:rsidRPr="00D674DF" w:rsidRDefault="009A743C" w:rsidP="00A03A03">
      <w:pPr>
        <w:numPr>
          <w:ilvl w:val="0"/>
          <w:numId w:val="3"/>
        </w:numPr>
        <w:snapToGrid w:val="0"/>
        <w:spacing w:before="240" w:after="240" w:line="360" w:lineRule="auto"/>
        <w:ind w:right="689" w:hanging="567"/>
        <w:jc w:val="both"/>
        <w:rPr>
          <w:color w:val="000000" w:themeColor="text1"/>
        </w:rPr>
      </w:pPr>
      <w:r w:rsidRPr="00D674DF">
        <w:rPr>
          <w:rFonts w:ascii="Arial" w:eastAsia="Arial" w:hAnsi="Arial" w:cs="Arial"/>
          <w:i/>
          <w:color w:val="000000" w:themeColor="text1"/>
        </w:rPr>
        <w:lastRenderedPageBreak/>
        <w:t xml:space="preserve">if the prosecution had, before the proceedings were instituted, been in possession of all the relevant facts, it would not have been reasonable to institute the proceedings, and </w:t>
      </w:r>
      <w:r w:rsidRPr="00D674DF">
        <w:rPr>
          <w:rFonts w:ascii="Arial" w:eastAsia="Arial" w:hAnsi="Arial" w:cs="Arial"/>
          <w:color w:val="000000" w:themeColor="text1"/>
        </w:rPr>
        <w:t xml:space="preserve"> </w:t>
      </w:r>
    </w:p>
    <w:p w14:paraId="63E61AF5" w14:textId="0E870780" w:rsidR="009A743C" w:rsidRPr="00D674DF" w:rsidRDefault="009A743C" w:rsidP="00A03A03">
      <w:pPr>
        <w:numPr>
          <w:ilvl w:val="0"/>
          <w:numId w:val="3"/>
        </w:numPr>
        <w:snapToGrid w:val="0"/>
        <w:spacing w:before="240" w:after="240" w:line="360" w:lineRule="auto"/>
        <w:ind w:right="689" w:hanging="567"/>
        <w:jc w:val="both"/>
        <w:rPr>
          <w:color w:val="000000" w:themeColor="text1"/>
        </w:rPr>
      </w:pPr>
      <w:r w:rsidRPr="00D674DF">
        <w:rPr>
          <w:rFonts w:ascii="Arial" w:eastAsia="Arial" w:hAnsi="Arial" w:cs="Arial"/>
          <w:i/>
          <w:color w:val="000000" w:themeColor="text1"/>
        </w:rPr>
        <w:t>that any act or omission of the defendant that contributed, or might have contributed, to the institution of or continuation of the proceedings was reasonable in the circumstance</w:t>
      </w:r>
      <w:r w:rsidR="00E335A9" w:rsidRPr="00D674DF">
        <w:rPr>
          <w:rFonts w:ascii="Arial" w:eastAsia="Arial" w:hAnsi="Arial" w:cs="Arial"/>
          <w:i/>
          <w:color w:val="000000" w:themeColor="text1"/>
        </w:rPr>
        <w:t>s</w:t>
      </w:r>
      <w:r w:rsidR="007362B3" w:rsidRPr="00D674DF">
        <w:rPr>
          <w:rFonts w:ascii="Arial" w:eastAsia="Arial" w:hAnsi="Arial" w:cs="Arial"/>
          <w:i/>
          <w:color w:val="000000" w:themeColor="text1"/>
        </w:rPr>
        <w:t>.</w:t>
      </w:r>
      <w:r w:rsidR="00E335A9" w:rsidRPr="00D674DF">
        <w:rPr>
          <w:rFonts w:ascii="Arial" w:eastAsia="Arial" w:hAnsi="Arial" w:cs="Arial"/>
          <w:i/>
          <w:color w:val="000000" w:themeColor="text1"/>
        </w:rPr>
        <w:t xml:space="preserve"> </w:t>
      </w:r>
      <w:r w:rsidRPr="00D674DF">
        <w:rPr>
          <w:rFonts w:ascii="Arial" w:eastAsia="Arial" w:hAnsi="Arial" w:cs="Arial"/>
          <w:i/>
          <w:color w:val="000000" w:themeColor="text1"/>
        </w:rPr>
        <w:t xml:space="preserve"> </w:t>
      </w:r>
      <w:r w:rsidRPr="00D674DF">
        <w:rPr>
          <w:rFonts w:ascii="Arial" w:eastAsia="Arial" w:hAnsi="Arial" w:cs="Arial"/>
          <w:color w:val="000000" w:themeColor="text1"/>
        </w:rPr>
        <w:t xml:space="preserve"> </w:t>
      </w:r>
    </w:p>
    <w:p w14:paraId="0DA50C70" w14:textId="3D84A894" w:rsidR="009A743C" w:rsidRPr="00D674DF" w:rsidRDefault="009A743C" w:rsidP="00F044B4">
      <w:pPr>
        <w:numPr>
          <w:ilvl w:val="0"/>
          <w:numId w:val="21"/>
        </w:numPr>
        <w:snapToGrid w:val="0"/>
        <w:spacing w:before="240" w:after="240" w:line="360" w:lineRule="auto"/>
        <w:ind w:right="168"/>
        <w:jc w:val="both"/>
        <w:rPr>
          <w:color w:val="000000" w:themeColor="text1"/>
        </w:rPr>
      </w:pPr>
      <w:r w:rsidRPr="00D674DF">
        <w:rPr>
          <w:rFonts w:ascii="Arial" w:eastAsia="Arial" w:hAnsi="Arial" w:cs="Arial"/>
          <w:color w:val="000000" w:themeColor="text1"/>
        </w:rPr>
        <w:t xml:space="preserve">The task of the court, when dealing with an application under </w:t>
      </w:r>
      <w:r w:rsidR="00E335A9" w:rsidRPr="00D674DF">
        <w:rPr>
          <w:rFonts w:ascii="Arial" w:eastAsia="Arial" w:hAnsi="Arial" w:cs="Arial"/>
          <w:color w:val="000000" w:themeColor="text1"/>
        </w:rPr>
        <w:t xml:space="preserve">section </w:t>
      </w:r>
      <w:r w:rsidRPr="00D674DF">
        <w:rPr>
          <w:rFonts w:ascii="Arial" w:eastAsia="Arial" w:hAnsi="Arial" w:cs="Arial"/>
          <w:color w:val="000000" w:themeColor="text1"/>
        </w:rPr>
        <w:t xml:space="preserve">2 of the Act, is to ask the question, whether, if the prosecution had evidence of all the relevant facts immediately before the proceedings were instituted, it would not have been reasonable to institute the proceedings: </w:t>
      </w:r>
      <w:r w:rsidRPr="00D674DF">
        <w:rPr>
          <w:rFonts w:ascii="Arial" w:eastAsia="Arial" w:hAnsi="Arial" w:cs="Arial"/>
          <w:i/>
          <w:color w:val="000000" w:themeColor="text1"/>
        </w:rPr>
        <w:t xml:space="preserve">Allerton v Director of Public Prosecutions </w:t>
      </w:r>
      <w:r w:rsidRPr="00D674DF">
        <w:rPr>
          <w:rFonts w:ascii="Arial" w:eastAsia="Arial" w:hAnsi="Arial" w:cs="Arial"/>
          <w:color w:val="000000" w:themeColor="text1"/>
        </w:rPr>
        <w:t>(1991)</w:t>
      </w:r>
      <w:r w:rsidRPr="00D674DF">
        <w:rPr>
          <w:rFonts w:ascii="Arial" w:eastAsia="Arial" w:hAnsi="Arial" w:cs="Arial"/>
          <w:i/>
          <w:color w:val="000000" w:themeColor="text1"/>
        </w:rPr>
        <w:t xml:space="preserve"> </w:t>
      </w:r>
      <w:r w:rsidRPr="00D674DF">
        <w:rPr>
          <w:rFonts w:ascii="Arial" w:eastAsia="Arial" w:hAnsi="Arial" w:cs="Arial"/>
          <w:color w:val="000000" w:themeColor="text1"/>
        </w:rPr>
        <w:t xml:space="preserve">24 NSWLR 550 at [pp 559-60]. </w:t>
      </w:r>
    </w:p>
    <w:p w14:paraId="73E5EBA7" w14:textId="37E5CDFA" w:rsidR="008D149F" w:rsidRPr="00D674DF" w:rsidRDefault="008D149F" w:rsidP="00F044B4">
      <w:pPr>
        <w:numPr>
          <w:ilvl w:val="0"/>
          <w:numId w:val="21"/>
        </w:numPr>
        <w:snapToGrid w:val="0"/>
        <w:spacing w:before="240" w:after="240" w:line="360" w:lineRule="auto"/>
        <w:ind w:right="168"/>
        <w:jc w:val="both"/>
        <w:rPr>
          <w:rFonts w:ascii="Arial" w:hAnsi="Arial" w:cs="Arial"/>
          <w:color w:val="000000" w:themeColor="text1"/>
        </w:rPr>
      </w:pPr>
      <w:r w:rsidRPr="00D674DF">
        <w:rPr>
          <w:rFonts w:ascii="Arial" w:hAnsi="Arial" w:cs="Arial"/>
          <w:color w:val="000000" w:themeColor="text1"/>
        </w:rPr>
        <w:t xml:space="preserve">This task is to be viewed with the benefit of hindsight (the omniscient crystal ball) looking at the evidence at the time of the acquittal or discontinuance and not at the time that the criminal proceedings were commenced: </w:t>
      </w:r>
      <w:r w:rsidRPr="00D674DF">
        <w:rPr>
          <w:rFonts w:ascii="Arial" w:hAnsi="Arial" w:cs="Arial"/>
          <w:i/>
          <w:iCs/>
          <w:color w:val="000000" w:themeColor="text1"/>
        </w:rPr>
        <w:t>R v Pavy</w:t>
      </w:r>
      <w:r w:rsidRPr="00D674DF">
        <w:rPr>
          <w:rFonts w:ascii="Arial" w:hAnsi="Arial" w:cs="Arial"/>
          <w:color w:val="000000" w:themeColor="text1"/>
        </w:rPr>
        <w:t xml:space="preserve"> (1997) 98 A Crim R 396.  </w:t>
      </w:r>
    </w:p>
    <w:p w14:paraId="4CBFB83E" w14:textId="45182B43" w:rsidR="00AB2BD2" w:rsidRPr="00D674DF" w:rsidRDefault="00AB2BD2" w:rsidP="00F044B4">
      <w:pPr>
        <w:numPr>
          <w:ilvl w:val="0"/>
          <w:numId w:val="21"/>
        </w:numPr>
        <w:snapToGrid w:val="0"/>
        <w:spacing w:before="240" w:after="240" w:line="360" w:lineRule="auto"/>
        <w:ind w:right="168"/>
        <w:jc w:val="both"/>
        <w:rPr>
          <w:rFonts w:ascii="Arial" w:hAnsi="Arial" w:cs="Arial"/>
          <w:color w:val="000000" w:themeColor="text1"/>
        </w:rPr>
      </w:pPr>
      <w:r w:rsidRPr="00D674DF">
        <w:rPr>
          <w:rFonts w:ascii="Arial" w:eastAsia="Arial" w:hAnsi="Arial" w:cs="Arial"/>
          <w:color w:val="000000" w:themeColor="text1"/>
        </w:rPr>
        <w:t xml:space="preserve">In </w:t>
      </w:r>
      <w:proofErr w:type="spellStart"/>
      <w:r w:rsidRPr="00D674DF">
        <w:rPr>
          <w:rFonts w:ascii="Arial" w:eastAsia="Arial" w:hAnsi="Arial" w:cs="Arial"/>
          <w:i/>
          <w:color w:val="000000" w:themeColor="text1"/>
        </w:rPr>
        <w:t>Ramskogler</w:t>
      </w:r>
      <w:proofErr w:type="spellEnd"/>
      <w:r w:rsidRPr="00D674DF">
        <w:rPr>
          <w:rFonts w:ascii="Arial" w:eastAsia="Arial" w:hAnsi="Arial" w:cs="Arial"/>
          <w:i/>
          <w:color w:val="000000" w:themeColor="text1"/>
        </w:rPr>
        <w:t xml:space="preserve"> v The Director of Public Prosecutions</w:t>
      </w:r>
      <w:r w:rsidRPr="00D674DF">
        <w:rPr>
          <w:rFonts w:ascii="Arial" w:eastAsia="Arial" w:hAnsi="Arial" w:cs="Arial"/>
          <w:color w:val="000000" w:themeColor="text1"/>
        </w:rPr>
        <w:t xml:space="preserve"> (1995) 82 A Crim R, 128</w:t>
      </w:r>
      <w:r w:rsidRPr="00D674DF">
        <w:rPr>
          <w:rFonts w:ascii="Arial" w:eastAsia="Arial" w:hAnsi="Arial" w:cs="Arial"/>
          <w:i/>
          <w:color w:val="000000" w:themeColor="text1"/>
        </w:rPr>
        <w:t xml:space="preserve"> </w:t>
      </w:r>
      <w:r w:rsidRPr="00D674DF">
        <w:rPr>
          <w:rFonts w:ascii="Arial" w:eastAsia="Arial" w:hAnsi="Arial" w:cs="Arial"/>
          <w:color w:val="000000" w:themeColor="text1"/>
        </w:rPr>
        <w:t>Kirby P, with whom other members of the Court of Appeal agreed,</w:t>
      </w:r>
      <w:r w:rsidR="00E9029E" w:rsidRPr="00D674DF">
        <w:rPr>
          <w:rStyle w:val="FootnoteReference"/>
          <w:rFonts w:ascii="Arial" w:eastAsia="Arial" w:hAnsi="Arial" w:cs="Arial"/>
          <w:color w:val="000000" w:themeColor="text1"/>
        </w:rPr>
        <w:footnoteReference w:id="4"/>
      </w:r>
      <w:r w:rsidRPr="00D674DF">
        <w:rPr>
          <w:rFonts w:ascii="Arial" w:eastAsia="Arial" w:hAnsi="Arial" w:cs="Arial"/>
          <w:color w:val="000000" w:themeColor="text1"/>
        </w:rPr>
        <w:t xml:space="preserve"> indicated that a judge considering an application for a certificate under </w:t>
      </w:r>
      <w:r w:rsidR="00E335A9" w:rsidRPr="00D674DF">
        <w:rPr>
          <w:rFonts w:ascii="Arial" w:eastAsia="Arial" w:hAnsi="Arial" w:cs="Arial"/>
          <w:color w:val="000000" w:themeColor="text1"/>
        </w:rPr>
        <w:t xml:space="preserve">section </w:t>
      </w:r>
      <w:r w:rsidRPr="00D674DF">
        <w:rPr>
          <w:rFonts w:ascii="Arial" w:eastAsia="Arial" w:hAnsi="Arial" w:cs="Arial"/>
          <w:color w:val="000000" w:themeColor="text1"/>
        </w:rPr>
        <w:t xml:space="preserve">2 and </w:t>
      </w:r>
      <w:r w:rsidR="00E335A9" w:rsidRPr="00D674DF">
        <w:rPr>
          <w:rFonts w:ascii="Arial" w:eastAsia="Arial" w:hAnsi="Arial" w:cs="Arial"/>
          <w:color w:val="000000" w:themeColor="text1"/>
        </w:rPr>
        <w:t xml:space="preserve">section </w:t>
      </w:r>
      <w:r w:rsidRPr="00D674DF">
        <w:rPr>
          <w:rFonts w:ascii="Arial" w:eastAsia="Arial" w:hAnsi="Arial" w:cs="Arial"/>
          <w:color w:val="000000" w:themeColor="text1"/>
        </w:rPr>
        <w:t xml:space="preserve">3 of the Act should divide his or her task into two categories, being the ‘facts’ aspect and the ‘reasonableness’ aspect:  </w:t>
      </w:r>
    </w:p>
    <w:p w14:paraId="1514AF20" w14:textId="2B1990CC" w:rsidR="00252411" w:rsidRPr="00D674DF" w:rsidRDefault="0063564B" w:rsidP="00A03A03">
      <w:pPr>
        <w:snapToGrid w:val="0"/>
        <w:spacing w:before="240" w:after="240" w:line="360" w:lineRule="auto"/>
        <w:ind w:left="1440" w:right="168"/>
        <w:jc w:val="both"/>
        <w:rPr>
          <w:rFonts w:ascii="Arial" w:hAnsi="Arial" w:cs="Arial"/>
          <w:color w:val="000000" w:themeColor="text1"/>
          <w:sz w:val="21"/>
          <w:szCs w:val="21"/>
        </w:rPr>
      </w:pPr>
      <w:r w:rsidRPr="00D674DF">
        <w:rPr>
          <w:rFonts w:ascii="Arial" w:eastAsia="Arial" w:hAnsi="Arial" w:cs="Arial"/>
          <w:i/>
          <w:color w:val="000000" w:themeColor="text1"/>
          <w:sz w:val="21"/>
          <w:szCs w:val="21"/>
        </w:rPr>
        <w:t xml:space="preserve">[28] ...the judgement of Mahoney JA in </w:t>
      </w:r>
      <w:r w:rsidRPr="00D674DF">
        <w:rPr>
          <w:rFonts w:ascii="Arial" w:eastAsia="Arial" w:hAnsi="Arial" w:cs="Arial"/>
          <w:color w:val="000000" w:themeColor="text1"/>
          <w:sz w:val="21"/>
          <w:szCs w:val="21"/>
        </w:rPr>
        <w:t>The Treasurer in and for the State of New South Wales v Way and Anor</w:t>
      </w:r>
      <w:r w:rsidRPr="00D674DF">
        <w:rPr>
          <w:rFonts w:ascii="Arial" w:eastAsia="Arial" w:hAnsi="Arial" w:cs="Arial"/>
          <w:i/>
          <w:color w:val="000000" w:themeColor="text1"/>
          <w:sz w:val="21"/>
          <w:szCs w:val="21"/>
        </w:rPr>
        <w:t xml:space="preserve"> (Court of Appeal, unreported, 16 June 1994; NSWJB 50) at paragraph 2 makes it clear that, in deciding whether to issue a certificate under the Act, a judge must make two findings with respect to </w:t>
      </w:r>
      <w:r w:rsidR="00E335A9" w:rsidRPr="00D674DF">
        <w:rPr>
          <w:rFonts w:ascii="Arial" w:eastAsia="Arial" w:hAnsi="Arial" w:cs="Arial"/>
          <w:i/>
          <w:color w:val="000000" w:themeColor="text1"/>
          <w:sz w:val="21"/>
          <w:szCs w:val="21"/>
        </w:rPr>
        <w:t xml:space="preserve">section </w:t>
      </w:r>
      <w:r w:rsidRPr="00D674DF">
        <w:rPr>
          <w:rFonts w:ascii="Arial" w:eastAsia="Arial" w:hAnsi="Arial" w:cs="Arial"/>
          <w:i/>
          <w:color w:val="000000" w:themeColor="text1"/>
          <w:sz w:val="21"/>
          <w:szCs w:val="21"/>
        </w:rPr>
        <w:t>3(1). First, the judge must determine what Mahoney JA describes as the ‘</w:t>
      </w:r>
      <w:r w:rsidRPr="00D674DF">
        <w:rPr>
          <w:rFonts w:ascii="Arial" w:eastAsia="Arial" w:hAnsi="Arial" w:cs="Arial"/>
          <w:b/>
          <w:bCs/>
          <w:i/>
          <w:color w:val="000000" w:themeColor="text1"/>
          <w:sz w:val="21"/>
          <w:szCs w:val="21"/>
        </w:rPr>
        <w:t>facts issue’</w:t>
      </w:r>
      <w:r w:rsidRPr="00D674DF">
        <w:rPr>
          <w:rFonts w:ascii="Arial" w:eastAsia="Arial" w:hAnsi="Arial" w:cs="Arial"/>
          <w:i/>
          <w:color w:val="000000" w:themeColor="text1"/>
          <w:sz w:val="21"/>
          <w:szCs w:val="21"/>
        </w:rPr>
        <w:t>. That is, the judge must determine what were, within the trial, ‘all the relevant fact</w:t>
      </w:r>
      <w:r w:rsidR="00E335A9" w:rsidRPr="00D674DF">
        <w:rPr>
          <w:rFonts w:ascii="Arial" w:eastAsia="Arial" w:hAnsi="Arial" w:cs="Arial"/>
          <w:i/>
          <w:color w:val="000000" w:themeColor="text1"/>
          <w:sz w:val="21"/>
          <w:szCs w:val="21"/>
        </w:rPr>
        <w:t>s</w:t>
      </w:r>
      <w:proofErr w:type="gramStart"/>
      <w:r w:rsidR="007362B3" w:rsidRPr="00D674DF">
        <w:rPr>
          <w:rFonts w:ascii="Arial" w:eastAsia="Arial" w:hAnsi="Arial" w:cs="Arial"/>
          <w:i/>
          <w:color w:val="000000" w:themeColor="text1"/>
          <w:sz w:val="21"/>
          <w:szCs w:val="21"/>
        </w:rPr>
        <w:t>.</w:t>
      </w:r>
      <w:r w:rsidR="00E335A9" w:rsidRPr="00D674DF">
        <w:rPr>
          <w:rFonts w:ascii="Arial" w:eastAsia="Arial" w:hAnsi="Arial" w:cs="Arial"/>
          <w:i/>
          <w:color w:val="000000" w:themeColor="text1"/>
          <w:sz w:val="21"/>
          <w:szCs w:val="21"/>
        </w:rPr>
        <w:t xml:space="preserve"> </w:t>
      </w:r>
      <w:r w:rsidRPr="00D674DF">
        <w:rPr>
          <w:rFonts w:ascii="Arial" w:eastAsia="Arial" w:hAnsi="Arial" w:cs="Arial"/>
          <w:i/>
          <w:color w:val="000000" w:themeColor="text1"/>
          <w:sz w:val="21"/>
          <w:szCs w:val="21"/>
        </w:rPr>
        <w:t>’</w:t>
      </w:r>
      <w:proofErr w:type="gramEnd"/>
      <w:r w:rsidRPr="00D674DF">
        <w:rPr>
          <w:rFonts w:ascii="Arial" w:eastAsia="Arial" w:hAnsi="Arial" w:cs="Arial"/>
          <w:i/>
          <w:color w:val="000000" w:themeColor="text1"/>
          <w:sz w:val="21"/>
          <w:szCs w:val="21"/>
        </w:rPr>
        <w:t xml:space="preserve"> Secondly, the judge must decide the ‘</w:t>
      </w:r>
      <w:r w:rsidRPr="00D674DF">
        <w:rPr>
          <w:rFonts w:ascii="Arial" w:eastAsia="Arial" w:hAnsi="Arial" w:cs="Arial"/>
          <w:b/>
          <w:bCs/>
          <w:i/>
          <w:color w:val="000000" w:themeColor="text1"/>
          <w:sz w:val="21"/>
          <w:szCs w:val="21"/>
        </w:rPr>
        <w:t>reasonableness issue’</w:t>
      </w:r>
      <w:r w:rsidRPr="00D674DF">
        <w:rPr>
          <w:rFonts w:ascii="Arial" w:eastAsia="Arial" w:hAnsi="Arial" w:cs="Arial"/>
          <w:i/>
          <w:color w:val="000000" w:themeColor="text1"/>
          <w:sz w:val="21"/>
          <w:szCs w:val="21"/>
        </w:rPr>
        <w:t>. He or she must determine whether, if it had known all the facts, the prosecution would have been acting ‘reasonably’ in bringing the proceeding</w:t>
      </w:r>
      <w:r w:rsidR="00E335A9" w:rsidRPr="00D674DF">
        <w:rPr>
          <w:rFonts w:ascii="Arial" w:eastAsia="Arial" w:hAnsi="Arial" w:cs="Arial"/>
          <w:i/>
          <w:color w:val="000000" w:themeColor="text1"/>
          <w:sz w:val="21"/>
          <w:szCs w:val="21"/>
        </w:rPr>
        <w:t>s</w:t>
      </w:r>
      <w:r w:rsidR="007362B3" w:rsidRPr="00D674DF">
        <w:rPr>
          <w:rFonts w:ascii="Arial" w:eastAsia="Arial" w:hAnsi="Arial" w:cs="Arial"/>
          <w:i/>
          <w:color w:val="000000" w:themeColor="text1"/>
          <w:sz w:val="21"/>
          <w:szCs w:val="21"/>
        </w:rPr>
        <w:t>.</w:t>
      </w:r>
      <w:r w:rsidR="00E335A9" w:rsidRPr="00D674DF">
        <w:rPr>
          <w:rFonts w:ascii="Arial" w:eastAsia="Arial" w:hAnsi="Arial" w:cs="Arial"/>
          <w:i/>
          <w:color w:val="000000" w:themeColor="text1"/>
          <w:sz w:val="21"/>
          <w:szCs w:val="21"/>
        </w:rPr>
        <w:t xml:space="preserve"> </w:t>
      </w:r>
      <w:r w:rsidRPr="00D674DF">
        <w:rPr>
          <w:rFonts w:ascii="Arial" w:eastAsia="Arial" w:hAnsi="Arial" w:cs="Arial"/>
          <w:i/>
          <w:color w:val="000000" w:themeColor="text1"/>
          <w:sz w:val="21"/>
          <w:szCs w:val="21"/>
        </w:rPr>
        <w:t xml:space="preserve"> These </w:t>
      </w:r>
      <w:r w:rsidRPr="00D674DF">
        <w:rPr>
          <w:rFonts w:ascii="Arial" w:eastAsia="Arial" w:hAnsi="Arial" w:cs="Arial"/>
          <w:i/>
          <w:color w:val="000000" w:themeColor="text1"/>
          <w:sz w:val="21"/>
          <w:szCs w:val="21"/>
        </w:rPr>
        <w:lastRenderedPageBreak/>
        <w:t xml:space="preserve">considerations require that some care be taken in considering the two steps mandated by Parliament.  </w:t>
      </w:r>
    </w:p>
    <w:p w14:paraId="558F1BEA" w14:textId="2B681251" w:rsidR="00252411" w:rsidRPr="00D674DF" w:rsidRDefault="00252411" w:rsidP="00A03A03">
      <w:pPr>
        <w:pStyle w:val="Heading2"/>
        <w:snapToGrid w:val="0"/>
        <w:spacing w:before="240" w:after="240" w:line="360" w:lineRule="auto"/>
        <w:rPr>
          <w:color w:val="000000" w:themeColor="text1"/>
        </w:rPr>
      </w:pPr>
      <w:r w:rsidRPr="00D674DF">
        <w:rPr>
          <w:rFonts w:eastAsia="Arial"/>
          <w:color w:val="000000" w:themeColor="text1"/>
          <w:u w:color="000000"/>
        </w:rPr>
        <w:t>THE FACTS ISSUE</w:t>
      </w:r>
      <w:r w:rsidRPr="00D674DF">
        <w:rPr>
          <w:rFonts w:eastAsia="Arial"/>
          <w:color w:val="000000" w:themeColor="text1"/>
        </w:rPr>
        <w:t xml:space="preserve">  </w:t>
      </w:r>
    </w:p>
    <w:p w14:paraId="7EB5E93E" w14:textId="77777777" w:rsidR="00252411" w:rsidRPr="00D674DF" w:rsidRDefault="00252411" w:rsidP="00F044B4">
      <w:pPr>
        <w:numPr>
          <w:ilvl w:val="0"/>
          <w:numId w:val="21"/>
        </w:numPr>
        <w:snapToGrid w:val="0"/>
        <w:spacing w:before="240" w:after="240" w:line="360" w:lineRule="auto"/>
        <w:ind w:right="168"/>
        <w:jc w:val="both"/>
        <w:rPr>
          <w:color w:val="000000" w:themeColor="text1"/>
        </w:rPr>
      </w:pPr>
      <w:r w:rsidRPr="00D674DF">
        <w:rPr>
          <w:rFonts w:ascii="Arial" w:eastAsia="Arial" w:hAnsi="Arial" w:cs="Arial"/>
          <w:color w:val="000000" w:themeColor="text1"/>
        </w:rPr>
        <w:t xml:space="preserve">The task of the Court dealing with an application under the Act is, firstly, to address the facts issue. </w:t>
      </w:r>
    </w:p>
    <w:p w14:paraId="6E2ED02C" w14:textId="32C9B1C7" w:rsidR="00252411" w:rsidRPr="00D674DF" w:rsidRDefault="00252411" w:rsidP="00F044B4">
      <w:pPr>
        <w:numPr>
          <w:ilvl w:val="0"/>
          <w:numId w:val="21"/>
        </w:numPr>
        <w:snapToGrid w:val="0"/>
        <w:spacing w:before="240" w:after="240" w:line="360" w:lineRule="auto"/>
        <w:ind w:right="168"/>
        <w:jc w:val="both"/>
        <w:rPr>
          <w:color w:val="000000" w:themeColor="text1"/>
        </w:rPr>
      </w:pPr>
      <w:r w:rsidRPr="00D674DF">
        <w:rPr>
          <w:rFonts w:ascii="Arial" w:eastAsia="Arial" w:hAnsi="Arial" w:cs="Arial"/>
          <w:color w:val="000000" w:themeColor="text1"/>
        </w:rPr>
        <w:t xml:space="preserve">The relevant facts need to be identified and isolated.  </w:t>
      </w:r>
    </w:p>
    <w:p w14:paraId="14F524F8" w14:textId="77777777" w:rsidR="00252411" w:rsidRPr="00D674DF" w:rsidRDefault="00252411" w:rsidP="00F044B4">
      <w:pPr>
        <w:numPr>
          <w:ilvl w:val="0"/>
          <w:numId w:val="21"/>
        </w:numPr>
        <w:snapToGrid w:val="0"/>
        <w:spacing w:before="240" w:after="240" w:line="360" w:lineRule="auto"/>
        <w:ind w:right="168"/>
        <w:jc w:val="both"/>
        <w:rPr>
          <w:color w:val="000000" w:themeColor="text1"/>
        </w:rPr>
      </w:pPr>
      <w:r w:rsidRPr="00D674DF">
        <w:rPr>
          <w:rFonts w:ascii="Arial" w:eastAsia="Arial" w:hAnsi="Arial" w:cs="Arial"/>
          <w:color w:val="000000" w:themeColor="text1"/>
        </w:rPr>
        <w:t xml:space="preserve">In </w:t>
      </w:r>
      <w:r w:rsidRPr="00D674DF">
        <w:rPr>
          <w:rFonts w:ascii="Arial" w:eastAsia="Arial" w:hAnsi="Arial" w:cs="Arial"/>
          <w:i/>
          <w:color w:val="000000" w:themeColor="text1"/>
        </w:rPr>
        <w:t xml:space="preserve">R v </w:t>
      </w:r>
      <w:proofErr w:type="spellStart"/>
      <w:r w:rsidRPr="00D674DF">
        <w:rPr>
          <w:rFonts w:ascii="Arial" w:eastAsia="Arial" w:hAnsi="Arial" w:cs="Arial"/>
          <w:i/>
          <w:color w:val="000000" w:themeColor="text1"/>
        </w:rPr>
        <w:t>Tooes</w:t>
      </w:r>
      <w:proofErr w:type="spellEnd"/>
      <w:r w:rsidRPr="00D674DF">
        <w:rPr>
          <w:rFonts w:ascii="Arial" w:eastAsia="Arial" w:hAnsi="Arial" w:cs="Arial"/>
          <w:i/>
          <w:color w:val="000000" w:themeColor="text1"/>
        </w:rPr>
        <w:t xml:space="preserve"> </w:t>
      </w:r>
      <w:r w:rsidRPr="00D674DF">
        <w:rPr>
          <w:rFonts w:ascii="Arial" w:eastAsia="Arial" w:hAnsi="Arial" w:cs="Arial"/>
          <w:color w:val="000000" w:themeColor="text1"/>
        </w:rPr>
        <w:t>[2008] NSWSC 291 the meaning of “</w:t>
      </w:r>
      <w:r w:rsidRPr="00D674DF">
        <w:rPr>
          <w:rFonts w:ascii="Arial" w:eastAsia="Arial" w:hAnsi="Arial" w:cs="Arial"/>
          <w:i/>
          <w:iCs/>
          <w:color w:val="000000" w:themeColor="text1"/>
        </w:rPr>
        <w:t>all the relevant facts</w:t>
      </w:r>
      <w:r w:rsidRPr="00D674DF">
        <w:rPr>
          <w:rFonts w:ascii="Arial" w:eastAsia="Arial" w:hAnsi="Arial" w:cs="Arial"/>
          <w:color w:val="000000" w:themeColor="text1"/>
        </w:rPr>
        <w:t xml:space="preserve">” was considered with reference to the judgement in </w:t>
      </w:r>
      <w:r w:rsidRPr="00D674DF">
        <w:rPr>
          <w:rFonts w:ascii="Arial" w:eastAsia="Arial" w:hAnsi="Arial" w:cs="Arial"/>
          <w:i/>
          <w:color w:val="000000" w:themeColor="text1"/>
        </w:rPr>
        <w:t xml:space="preserve">R v Williams </w:t>
      </w:r>
      <w:r w:rsidRPr="00D674DF">
        <w:rPr>
          <w:rFonts w:ascii="Arial" w:eastAsia="Arial" w:hAnsi="Arial" w:cs="Arial"/>
          <w:color w:val="000000" w:themeColor="text1"/>
        </w:rPr>
        <w:t xml:space="preserve">(1970) NSWLR 81, where it was stated per Studdert AJ at [5]:  </w:t>
      </w:r>
    </w:p>
    <w:p w14:paraId="1B97F0AC" w14:textId="2CBE55FA" w:rsidR="00252411" w:rsidRPr="00D674DF" w:rsidRDefault="00252411" w:rsidP="00A03A03">
      <w:pPr>
        <w:snapToGrid w:val="0"/>
        <w:spacing w:before="240" w:after="240" w:line="360" w:lineRule="auto"/>
        <w:ind w:left="1145" w:right="689" w:hanging="10"/>
        <w:jc w:val="both"/>
        <w:rPr>
          <w:color w:val="000000" w:themeColor="text1"/>
        </w:rPr>
      </w:pPr>
      <w:r w:rsidRPr="00D674DF">
        <w:rPr>
          <w:rFonts w:ascii="Arial" w:eastAsia="Arial" w:hAnsi="Arial" w:cs="Arial"/>
          <w:i/>
          <w:color w:val="000000" w:themeColor="text1"/>
        </w:rPr>
        <w:t xml:space="preserve">I draw attention in particular to the phrase: ‘been in possession of evidence of all the relevant </w:t>
      </w:r>
      <w:proofErr w:type="gramStart"/>
      <w:r w:rsidRPr="00D674DF">
        <w:rPr>
          <w:rFonts w:ascii="Arial" w:eastAsia="Arial" w:hAnsi="Arial" w:cs="Arial"/>
          <w:i/>
          <w:color w:val="000000" w:themeColor="text1"/>
        </w:rPr>
        <w:t>facts’</w:t>
      </w:r>
      <w:proofErr w:type="gramEnd"/>
      <w:r w:rsidRPr="00D674DF">
        <w:rPr>
          <w:rFonts w:ascii="Arial" w:eastAsia="Arial" w:hAnsi="Arial" w:cs="Arial"/>
          <w:i/>
          <w:color w:val="000000" w:themeColor="text1"/>
        </w:rPr>
        <w:t xml:space="preserve"> and the emphasis which I have supplied is, I think, the emphasis with which the phrase must be read. This imports that there were relevant facts, evidence of which was not in the possession of </w:t>
      </w:r>
      <w:r w:rsidR="00BB57CD" w:rsidRPr="00D674DF">
        <w:rPr>
          <w:rFonts w:ascii="Arial" w:eastAsia="Arial" w:hAnsi="Arial" w:cs="Arial"/>
          <w:i/>
          <w:color w:val="000000" w:themeColor="text1"/>
        </w:rPr>
        <w:t>the prosecution before</w:t>
      </w:r>
      <w:r w:rsidRPr="00D674DF">
        <w:rPr>
          <w:rFonts w:ascii="Arial" w:eastAsia="Arial" w:hAnsi="Arial" w:cs="Arial"/>
          <w:i/>
          <w:color w:val="000000" w:themeColor="text1"/>
        </w:rPr>
        <w:t xml:space="preserve"> the institution of the proceedings. </w:t>
      </w:r>
      <w:r w:rsidRPr="00D674DF">
        <w:rPr>
          <w:rFonts w:ascii="Arial" w:eastAsia="Arial" w:hAnsi="Arial" w:cs="Arial"/>
          <w:b/>
          <w:bCs/>
          <w:i/>
          <w:color w:val="000000" w:themeColor="text1"/>
        </w:rPr>
        <w:t>What relevant facts</w:t>
      </w:r>
      <w:r w:rsidRPr="00D674DF">
        <w:rPr>
          <w:rFonts w:ascii="Arial" w:eastAsia="Arial" w:hAnsi="Arial" w:cs="Arial"/>
          <w:i/>
          <w:color w:val="000000" w:themeColor="text1"/>
        </w:rPr>
        <w:t xml:space="preserve">? </w:t>
      </w:r>
    </w:p>
    <w:p w14:paraId="2EF8C144" w14:textId="1E690B6E" w:rsidR="00252411" w:rsidRPr="00D674DF" w:rsidRDefault="00252411" w:rsidP="00A03A03">
      <w:pPr>
        <w:snapToGrid w:val="0"/>
        <w:spacing w:before="240" w:after="240" w:line="360" w:lineRule="auto"/>
        <w:ind w:left="1145" w:right="689" w:hanging="10"/>
        <w:jc w:val="both"/>
        <w:rPr>
          <w:color w:val="000000" w:themeColor="text1"/>
        </w:rPr>
      </w:pPr>
      <w:r w:rsidRPr="00D674DF">
        <w:rPr>
          <w:rFonts w:ascii="Arial" w:eastAsia="Arial" w:hAnsi="Arial" w:cs="Arial"/>
          <w:i/>
          <w:color w:val="000000" w:themeColor="text1"/>
        </w:rPr>
        <w:t xml:space="preserve">Not ‘all’ the relevant facts in any literal or absolute sense; omniscience is not to be attributed to the prosecution in the hypothetical inquiry which, I agree with Mr Bowie, is required. ‘All the relevant facts’ means, in my opinion, all the relevant facts as they finally emerge at the trial; the facts in the prosecution’s case but, as well, the facts in the accused’s case as those emerged from </w:t>
      </w:r>
      <w:r w:rsidR="00E24D8B" w:rsidRPr="00D674DF">
        <w:rPr>
          <w:rFonts w:ascii="Arial" w:eastAsia="Arial" w:hAnsi="Arial" w:cs="Arial"/>
          <w:i/>
          <w:color w:val="000000" w:themeColor="text1"/>
        </w:rPr>
        <w:t xml:space="preserve">the </w:t>
      </w:r>
      <w:r w:rsidR="00BB57CD" w:rsidRPr="00D674DF">
        <w:rPr>
          <w:rFonts w:ascii="Arial" w:eastAsia="Arial" w:hAnsi="Arial" w:cs="Arial"/>
          <w:i/>
          <w:color w:val="000000" w:themeColor="text1"/>
        </w:rPr>
        <w:t>cross-examination</w:t>
      </w:r>
      <w:r w:rsidRPr="00D674DF">
        <w:rPr>
          <w:rFonts w:ascii="Arial" w:eastAsia="Arial" w:hAnsi="Arial" w:cs="Arial"/>
          <w:i/>
          <w:color w:val="000000" w:themeColor="text1"/>
        </w:rPr>
        <w:t xml:space="preserve"> of the prosecution’s witnesses or from evidence called by the accused. That seems to me to be the nature of the hypothetical inquiry which is called for by s.3(1)(a). Suppose that prosecution before the proceedings were instituted had been in possession of evidence of the relevant facts in the accused’s case as well as those in its own – suppose it had been in possession of evidence of all the relevant facts and not merely of evidence of the relevant facts in its own case –would it have been reasonable to institute the proceedings? </w:t>
      </w:r>
    </w:p>
    <w:p w14:paraId="181B0BD2" w14:textId="77777777" w:rsidR="00252411" w:rsidRPr="00D674DF" w:rsidRDefault="00252411" w:rsidP="00F044B4">
      <w:pPr>
        <w:numPr>
          <w:ilvl w:val="0"/>
          <w:numId w:val="21"/>
        </w:numPr>
        <w:snapToGrid w:val="0"/>
        <w:spacing w:before="240" w:after="240" w:line="360" w:lineRule="auto"/>
        <w:ind w:right="168"/>
        <w:jc w:val="both"/>
        <w:rPr>
          <w:color w:val="000000" w:themeColor="text1"/>
        </w:rPr>
      </w:pPr>
      <w:r w:rsidRPr="00D674DF">
        <w:rPr>
          <w:rFonts w:ascii="Arial" w:eastAsia="Arial" w:hAnsi="Arial" w:cs="Arial"/>
          <w:color w:val="000000" w:themeColor="text1"/>
        </w:rPr>
        <w:t xml:space="preserve">When considering the ‘facts issue,’ an applicant can adduce evidence of matters that were not before the court at the hearing, pursuant to s.3A of the Act which provides: </w:t>
      </w:r>
    </w:p>
    <w:p w14:paraId="60A14104" w14:textId="77777777" w:rsidR="00252411" w:rsidRPr="00D674DF" w:rsidRDefault="00252411" w:rsidP="00A03A03">
      <w:pPr>
        <w:pStyle w:val="Heading3"/>
        <w:snapToGrid w:val="0"/>
        <w:spacing w:before="240" w:after="240" w:line="360" w:lineRule="auto"/>
        <w:ind w:left="1145"/>
        <w:rPr>
          <w:color w:val="000000" w:themeColor="text1"/>
        </w:rPr>
      </w:pPr>
      <w:r w:rsidRPr="00D674DF">
        <w:rPr>
          <w:color w:val="000000" w:themeColor="text1"/>
        </w:rPr>
        <w:lastRenderedPageBreak/>
        <w:t xml:space="preserve">3A   Evidence of further relevant facts may be adduced  </w:t>
      </w:r>
    </w:p>
    <w:p w14:paraId="25482C78" w14:textId="77777777" w:rsidR="00252411" w:rsidRPr="00D674DF" w:rsidRDefault="00252411" w:rsidP="00A03A03">
      <w:pPr>
        <w:snapToGrid w:val="0"/>
        <w:spacing w:before="240" w:after="240" w:line="360" w:lineRule="auto"/>
        <w:ind w:left="2284" w:right="689" w:hanging="566"/>
        <w:jc w:val="both"/>
        <w:rPr>
          <w:color w:val="000000" w:themeColor="text1"/>
        </w:rPr>
      </w:pPr>
      <w:r w:rsidRPr="00D674DF">
        <w:rPr>
          <w:rFonts w:ascii="Arial" w:eastAsia="Arial" w:hAnsi="Arial" w:cs="Arial"/>
          <w:i/>
          <w:color w:val="000000" w:themeColor="text1"/>
        </w:rPr>
        <w:t xml:space="preserve">(1)  For the purpose of determining </w:t>
      </w:r>
      <w:proofErr w:type="gramStart"/>
      <w:r w:rsidRPr="00D674DF">
        <w:rPr>
          <w:rFonts w:ascii="Arial" w:eastAsia="Arial" w:hAnsi="Arial" w:cs="Arial"/>
          <w:i/>
          <w:color w:val="000000" w:themeColor="text1"/>
        </w:rPr>
        <w:t>whether or not</w:t>
      </w:r>
      <w:proofErr w:type="gramEnd"/>
      <w:r w:rsidRPr="00D674DF">
        <w:rPr>
          <w:rFonts w:ascii="Arial" w:eastAsia="Arial" w:hAnsi="Arial" w:cs="Arial"/>
          <w:i/>
          <w:color w:val="000000" w:themeColor="text1"/>
        </w:rPr>
        <w:t xml:space="preserve"> to grant a certificate under section 2 in relation to any proceedings, the reference in section 3(1)(a) to “all relevant facts” is a reference to: </w:t>
      </w:r>
      <w:r w:rsidRPr="00D674DF">
        <w:rPr>
          <w:rFonts w:ascii="Arial" w:eastAsia="Arial" w:hAnsi="Arial" w:cs="Arial"/>
          <w:color w:val="000000" w:themeColor="text1"/>
        </w:rPr>
        <w:t xml:space="preserve"> </w:t>
      </w:r>
    </w:p>
    <w:p w14:paraId="5CDEAE4A" w14:textId="77777777" w:rsidR="00252411" w:rsidRPr="00D674DF" w:rsidRDefault="00252411" w:rsidP="00A03A03">
      <w:pPr>
        <w:numPr>
          <w:ilvl w:val="0"/>
          <w:numId w:val="5"/>
        </w:numPr>
        <w:snapToGrid w:val="0"/>
        <w:spacing w:before="240" w:after="240" w:line="360" w:lineRule="auto"/>
        <w:ind w:right="689" w:hanging="567"/>
        <w:jc w:val="both"/>
        <w:rPr>
          <w:color w:val="000000" w:themeColor="text1"/>
        </w:rPr>
      </w:pPr>
      <w:r w:rsidRPr="00D674DF">
        <w:rPr>
          <w:rFonts w:ascii="Arial" w:eastAsia="Arial" w:hAnsi="Arial" w:cs="Arial"/>
          <w:i/>
          <w:color w:val="000000" w:themeColor="text1"/>
        </w:rPr>
        <w:t xml:space="preserve">the relevant facts established in the proceedings, and </w:t>
      </w:r>
      <w:r w:rsidRPr="00D674DF">
        <w:rPr>
          <w:rFonts w:ascii="Arial" w:eastAsia="Arial" w:hAnsi="Arial" w:cs="Arial"/>
          <w:color w:val="000000" w:themeColor="text1"/>
        </w:rPr>
        <w:t xml:space="preserve"> </w:t>
      </w:r>
    </w:p>
    <w:p w14:paraId="65D13DA6" w14:textId="77777777" w:rsidR="00252411" w:rsidRPr="00D674DF" w:rsidRDefault="00252411" w:rsidP="00A03A03">
      <w:pPr>
        <w:numPr>
          <w:ilvl w:val="0"/>
          <w:numId w:val="5"/>
        </w:numPr>
        <w:snapToGrid w:val="0"/>
        <w:spacing w:before="240" w:after="240" w:line="360" w:lineRule="auto"/>
        <w:ind w:right="689" w:hanging="567"/>
        <w:jc w:val="both"/>
        <w:rPr>
          <w:color w:val="000000" w:themeColor="text1"/>
        </w:rPr>
      </w:pPr>
      <w:r w:rsidRPr="00D674DF">
        <w:rPr>
          <w:rFonts w:ascii="Arial" w:eastAsia="Arial" w:hAnsi="Arial" w:cs="Arial"/>
          <w:i/>
          <w:color w:val="000000" w:themeColor="text1"/>
        </w:rPr>
        <w:t xml:space="preserve">any relevant facts that the defendant </w:t>
      </w:r>
      <w:proofErr w:type="gramStart"/>
      <w:r w:rsidRPr="00D674DF">
        <w:rPr>
          <w:rFonts w:ascii="Arial" w:eastAsia="Arial" w:hAnsi="Arial" w:cs="Arial"/>
          <w:i/>
          <w:color w:val="000000" w:themeColor="text1"/>
        </w:rPr>
        <w:t>has,</w:t>
      </w:r>
      <w:proofErr w:type="gramEnd"/>
      <w:r w:rsidRPr="00D674DF">
        <w:rPr>
          <w:rFonts w:ascii="Arial" w:eastAsia="Arial" w:hAnsi="Arial" w:cs="Arial"/>
          <w:i/>
          <w:color w:val="000000" w:themeColor="text1"/>
        </w:rPr>
        <w:t xml:space="preserve"> on the application for the certificate, established to the satisfaction of the Court or Judge or Magistrate, and </w:t>
      </w:r>
      <w:r w:rsidRPr="00D674DF">
        <w:rPr>
          <w:rFonts w:ascii="Arial" w:eastAsia="Arial" w:hAnsi="Arial" w:cs="Arial"/>
          <w:color w:val="000000" w:themeColor="text1"/>
        </w:rPr>
        <w:t xml:space="preserve"> </w:t>
      </w:r>
    </w:p>
    <w:p w14:paraId="2736F14F" w14:textId="77777777" w:rsidR="00252411" w:rsidRPr="00D674DF" w:rsidRDefault="00252411" w:rsidP="00A03A03">
      <w:pPr>
        <w:numPr>
          <w:ilvl w:val="0"/>
          <w:numId w:val="5"/>
        </w:numPr>
        <w:snapToGrid w:val="0"/>
        <w:spacing w:before="240" w:after="240" w:line="360" w:lineRule="auto"/>
        <w:ind w:right="689" w:hanging="567"/>
        <w:jc w:val="both"/>
        <w:rPr>
          <w:color w:val="000000" w:themeColor="text1"/>
        </w:rPr>
      </w:pPr>
      <w:r w:rsidRPr="00D674DF">
        <w:rPr>
          <w:rFonts w:ascii="Arial" w:eastAsia="Arial" w:hAnsi="Arial" w:cs="Arial"/>
          <w:i/>
          <w:color w:val="000000" w:themeColor="text1"/>
        </w:rPr>
        <w:t xml:space="preserve">any relevant facts that the prosecutor, or in the absence of the prosecutor, any person authorised to represent the Minister on the application, has established to the satisfaction of the Court or Judge or Magistrate that: </w:t>
      </w:r>
      <w:r w:rsidRPr="00D674DF">
        <w:rPr>
          <w:rFonts w:ascii="Arial" w:eastAsia="Arial" w:hAnsi="Arial" w:cs="Arial"/>
          <w:color w:val="000000" w:themeColor="text1"/>
        </w:rPr>
        <w:t xml:space="preserve"> </w:t>
      </w:r>
    </w:p>
    <w:p w14:paraId="01D41BAD" w14:textId="77777777" w:rsidR="00252411" w:rsidRPr="00D674DF" w:rsidRDefault="00252411" w:rsidP="00A03A03">
      <w:pPr>
        <w:numPr>
          <w:ilvl w:val="0"/>
          <w:numId w:val="6"/>
        </w:numPr>
        <w:snapToGrid w:val="0"/>
        <w:spacing w:before="240" w:after="240" w:line="360" w:lineRule="auto"/>
        <w:ind w:right="689" w:hanging="569"/>
        <w:jc w:val="both"/>
        <w:rPr>
          <w:color w:val="000000" w:themeColor="text1"/>
        </w:rPr>
      </w:pPr>
      <w:r w:rsidRPr="00D674DF">
        <w:rPr>
          <w:rFonts w:ascii="Arial" w:eastAsia="Arial" w:hAnsi="Arial" w:cs="Arial"/>
          <w:i/>
          <w:color w:val="000000" w:themeColor="text1"/>
        </w:rPr>
        <w:t xml:space="preserve">relate to evidence that was in the possession of the prosecutor at the time that the decision to institute proceedings was made, and </w:t>
      </w:r>
      <w:r w:rsidRPr="00D674DF">
        <w:rPr>
          <w:rFonts w:ascii="Arial" w:eastAsia="Arial" w:hAnsi="Arial" w:cs="Arial"/>
          <w:color w:val="000000" w:themeColor="text1"/>
        </w:rPr>
        <w:t xml:space="preserve"> </w:t>
      </w:r>
    </w:p>
    <w:p w14:paraId="41366343" w14:textId="77777777" w:rsidR="00252411" w:rsidRPr="00D674DF" w:rsidRDefault="00252411" w:rsidP="00A03A03">
      <w:pPr>
        <w:numPr>
          <w:ilvl w:val="0"/>
          <w:numId w:val="6"/>
        </w:numPr>
        <w:snapToGrid w:val="0"/>
        <w:spacing w:before="240" w:after="240" w:line="360" w:lineRule="auto"/>
        <w:ind w:right="689" w:hanging="569"/>
        <w:jc w:val="both"/>
        <w:rPr>
          <w:color w:val="000000" w:themeColor="text1"/>
        </w:rPr>
      </w:pPr>
      <w:proofErr w:type="spellStart"/>
      <w:r w:rsidRPr="00D674DF">
        <w:rPr>
          <w:rFonts w:ascii="Arial" w:eastAsia="Arial" w:hAnsi="Arial" w:cs="Arial"/>
          <w:i/>
          <w:color w:val="000000" w:themeColor="text1"/>
        </w:rPr>
        <w:t>were</w:t>
      </w:r>
      <w:proofErr w:type="spellEnd"/>
      <w:r w:rsidRPr="00D674DF">
        <w:rPr>
          <w:rFonts w:ascii="Arial" w:eastAsia="Arial" w:hAnsi="Arial" w:cs="Arial"/>
          <w:i/>
          <w:color w:val="000000" w:themeColor="text1"/>
        </w:rPr>
        <w:t xml:space="preserve"> not adduced in the proceedings. </w:t>
      </w:r>
      <w:r w:rsidRPr="00D674DF">
        <w:rPr>
          <w:rFonts w:ascii="Arial" w:eastAsia="Arial" w:hAnsi="Arial" w:cs="Arial"/>
          <w:color w:val="000000" w:themeColor="text1"/>
        </w:rPr>
        <w:t xml:space="preserve"> </w:t>
      </w:r>
    </w:p>
    <w:p w14:paraId="5E8AC9A5" w14:textId="77777777" w:rsidR="00252411" w:rsidRPr="00D674DF" w:rsidRDefault="00252411" w:rsidP="00A03A03">
      <w:pPr>
        <w:numPr>
          <w:ilvl w:val="0"/>
          <w:numId w:val="7"/>
        </w:numPr>
        <w:snapToGrid w:val="0"/>
        <w:spacing w:before="240" w:after="240" w:line="360" w:lineRule="auto"/>
        <w:ind w:right="689" w:hanging="576"/>
        <w:jc w:val="both"/>
        <w:rPr>
          <w:color w:val="000000" w:themeColor="text1"/>
        </w:rPr>
      </w:pPr>
      <w:r w:rsidRPr="00D674DF">
        <w:rPr>
          <w:rFonts w:ascii="Arial" w:eastAsia="Arial" w:hAnsi="Arial" w:cs="Arial"/>
          <w:i/>
          <w:color w:val="000000" w:themeColor="text1"/>
        </w:rPr>
        <w:t xml:space="preserve">Where, on an application for a certificate under section 2 in relation to any proceedings, the defendant adduces evidence to establish further relevant facts that were not established in those proceedings, the Court or Judge or Magistrate to which or to whom the application is made may: </w:t>
      </w:r>
      <w:r w:rsidRPr="00D674DF">
        <w:rPr>
          <w:rFonts w:ascii="Arial" w:eastAsia="Arial" w:hAnsi="Arial" w:cs="Arial"/>
          <w:color w:val="000000" w:themeColor="text1"/>
        </w:rPr>
        <w:t xml:space="preserve"> </w:t>
      </w:r>
    </w:p>
    <w:p w14:paraId="0D66BAA7" w14:textId="77777777" w:rsidR="00252411" w:rsidRPr="00D674DF" w:rsidRDefault="00252411" w:rsidP="00A03A03">
      <w:pPr>
        <w:numPr>
          <w:ilvl w:val="1"/>
          <w:numId w:val="7"/>
        </w:numPr>
        <w:snapToGrid w:val="0"/>
        <w:spacing w:before="240" w:after="240" w:line="360" w:lineRule="auto"/>
        <w:ind w:left="2284" w:right="689" w:hanging="566"/>
        <w:jc w:val="both"/>
        <w:rPr>
          <w:color w:val="000000" w:themeColor="text1"/>
        </w:rPr>
      </w:pPr>
      <w:r w:rsidRPr="00D674DF">
        <w:rPr>
          <w:rFonts w:ascii="Arial" w:eastAsia="Arial" w:hAnsi="Arial" w:cs="Arial"/>
          <w:i/>
          <w:color w:val="000000" w:themeColor="text1"/>
        </w:rPr>
        <w:t xml:space="preserve">order that leave be given to the prosecutor in those proceedings or, in the absence of the prosecutor, to any person authorised to represent the Minster on the application, to comment on the evidence of those further relevant facts, and </w:t>
      </w:r>
      <w:r w:rsidRPr="00D674DF">
        <w:rPr>
          <w:rFonts w:ascii="Arial" w:eastAsia="Arial" w:hAnsi="Arial" w:cs="Arial"/>
          <w:color w:val="000000" w:themeColor="text1"/>
        </w:rPr>
        <w:t xml:space="preserve"> </w:t>
      </w:r>
    </w:p>
    <w:p w14:paraId="391347E0" w14:textId="77777777" w:rsidR="00252411" w:rsidRPr="00D674DF" w:rsidRDefault="00252411" w:rsidP="00A03A03">
      <w:pPr>
        <w:numPr>
          <w:ilvl w:val="1"/>
          <w:numId w:val="7"/>
        </w:numPr>
        <w:snapToGrid w:val="0"/>
        <w:spacing w:before="240" w:after="240" w:line="360" w:lineRule="auto"/>
        <w:ind w:left="2284" w:right="689" w:hanging="566"/>
        <w:jc w:val="both"/>
        <w:rPr>
          <w:color w:val="000000" w:themeColor="text1"/>
        </w:rPr>
      </w:pPr>
      <w:r w:rsidRPr="00D674DF">
        <w:rPr>
          <w:rFonts w:ascii="Arial" w:eastAsia="Arial" w:hAnsi="Arial" w:cs="Arial"/>
          <w:i/>
          <w:color w:val="000000" w:themeColor="text1"/>
        </w:rPr>
        <w:t xml:space="preserve">if the Court, Judge or Magistrate think it desirable to do so after taking into consideration any such comments, order that leave be given to the prosecutor or to the person representing the Minister to examine any witnesses giving evidence for the applicant or to adduce any evidence tending to sow why the </w:t>
      </w:r>
      <w:r w:rsidRPr="00D674DF">
        <w:rPr>
          <w:rFonts w:ascii="Arial" w:eastAsia="Arial" w:hAnsi="Arial" w:cs="Arial"/>
          <w:i/>
          <w:color w:val="000000" w:themeColor="text1"/>
        </w:rPr>
        <w:lastRenderedPageBreak/>
        <w:t xml:space="preserve">certificate applied for should not be granted and adjourn the application so that that evidence may be adduced. </w:t>
      </w:r>
      <w:r w:rsidRPr="00D674DF">
        <w:rPr>
          <w:rFonts w:ascii="Arial" w:eastAsia="Arial" w:hAnsi="Arial" w:cs="Arial"/>
          <w:color w:val="000000" w:themeColor="text1"/>
        </w:rPr>
        <w:t xml:space="preserve"> </w:t>
      </w:r>
    </w:p>
    <w:p w14:paraId="33B9207C" w14:textId="77777777" w:rsidR="00252411" w:rsidRPr="00D674DF" w:rsidRDefault="00252411" w:rsidP="00A03A03">
      <w:pPr>
        <w:numPr>
          <w:ilvl w:val="0"/>
          <w:numId w:val="7"/>
        </w:numPr>
        <w:snapToGrid w:val="0"/>
        <w:spacing w:before="240" w:after="240" w:line="360" w:lineRule="auto"/>
        <w:ind w:right="689" w:hanging="576"/>
        <w:jc w:val="both"/>
        <w:rPr>
          <w:color w:val="000000" w:themeColor="text1"/>
        </w:rPr>
      </w:pPr>
      <w:r w:rsidRPr="00D674DF">
        <w:rPr>
          <w:rFonts w:ascii="Arial" w:eastAsia="Arial" w:hAnsi="Arial" w:cs="Arial"/>
          <w:i/>
          <w:color w:val="000000" w:themeColor="text1"/>
        </w:rPr>
        <w:t xml:space="preserve">If, in response to an application for a certificate under section 2 in relation to any proceedings, the prosecutor or, in the absence of the prosecutor, any person authorised to represent the Minister on the application adduces evidence to establish further relevant facts that were not established in those proceedings, the Court or Judge or Magistrate to which or to whom the application is made may: </w:t>
      </w:r>
      <w:r w:rsidRPr="00D674DF">
        <w:rPr>
          <w:rFonts w:ascii="Arial" w:eastAsia="Arial" w:hAnsi="Arial" w:cs="Arial"/>
          <w:color w:val="000000" w:themeColor="text1"/>
        </w:rPr>
        <w:t xml:space="preserve"> </w:t>
      </w:r>
    </w:p>
    <w:p w14:paraId="60201328" w14:textId="77777777" w:rsidR="00252411" w:rsidRPr="00D674DF" w:rsidRDefault="00252411" w:rsidP="00A03A03">
      <w:pPr>
        <w:numPr>
          <w:ilvl w:val="1"/>
          <w:numId w:val="7"/>
        </w:numPr>
        <w:snapToGrid w:val="0"/>
        <w:spacing w:before="240" w:after="240" w:line="360" w:lineRule="auto"/>
        <w:ind w:left="2284" w:right="689" w:hanging="566"/>
        <w:jc w:val="both"/>
        <w:rPr>
          <w:color w:val="000000" w:themeColor="text1"/>
        </w:rPr>
      </w:pPr>
      <w:r w:rsidRPr="00D674DF">
        <w:rPr>
          <w:rFonts w:ascii="Arial" w:eastAsia="Arial" w:hAnsi="Arial" w:cs="Arial"/>
          <w:i/>
          <w:color w:val="000000" w:themeColor="text1"/>
        </w:rPr>
        <w:t xml:space="preserve">Order that leave be given to the defendant to comment on the evidence of those relevant facts, and </w:t>
      </w:r>
      <w:r w:rsidRPr="00D674DF">
        <w:rPr>
          <w:rFonts w:ascii="Arial" w:eastAsia="Arial" w:hAnsi="Arial" w:cs="Arial"/>
          <w:color w:val="000000" w:themeColor="text1"/>
        </w:rPr>
        <w:t xml:space="preserve"> </w:t>
      </w:r>
    </w:p>
    <w:p w14:paraId="498BC4C4" w14:textId="77777777" w:rsidR="00252411" w:rsidRPr="00D674DF" w:rsidRDefault="00252411" w:rsidP="00A03A03">
      <w:pPr>
        <w:numPr>
          <w:ilvl w:val="1"/>
          <w:numId w:val="7"/>
        </w:numPr>
        <w:snapToGrid w:val="0"/>
        <w:spacing w:before="240" w:after="240" w:line="360" w:lineRule="auto"/>
        <w:ind w:left="2284" w:right="689" w:hanging="566"/>
        <w:jc w:val="both"/>
        <w:rPr>
          <w:color w:val="000000" w:themeColor="text1"/>
        </w:rPr>
      </w:pPr>
      <w:r w:rsidRPr="00D674DF">
        <w:rPr>
          <w:rFonts w:ascii="Arial" w:eastAsia="Arial" w:hAnsi="Arial" w:cs="Arial"/>
          <w:i/>
          <w:color w:val="000000" w:themeColor="text1"/>
        </w:rPr>
        <w:t xml:space="preserve">If the Court or Judge or Magistrate thinks it desirable to do so after taking into consideration any of those comment, order that leave be given to the defendant to examine any witness given evidence for the prosecutor or that authorised person. </w:t>
      </w:r>
      <w:r w:rsidRPr="00D674DF">
        <w:rPr>
          <w:rFonts w:ascii="Arial" w:eastAsia="Arial" w:hAnsi="Arial" w:cs="Arial"/>
          <w:color w:val="000000" w:themeColor="text1"/>
        </w:rPr>
        <w:t xml:space="preserve"> </w:t>
      </w:r>
    </w:p>
    <w:p w14:paraId="120867E0" w14:textId="77777777" w:rsidR="00252411" w:rsidRPr="00D674DF" w:rsidRDefault="00252411" w:rsidP="007E111A">
      <w:pPr>
        <w:numPr>
          <w:ilvl w:val="0"/>
          <w:numId w:val="22"/>
        </w:numPr>
        <w:snapToGrid w:val="0"/>
        <w:spacing w:before="240" w:after="240" w:line="360" w:lineRule="auto"/>
        <w:ind w:right="111"/>
        <w:jc w:val="both"/>
        <w:rPr>
          <w:color w:val="000000" w:themeColor="text1"/>
        </w:rPr>
      </w:pPr>
      <w:r w:rsidRPr="00D674DF">
        <w:rPr>
          <w:rFonts w:ascii="Arial" w:eastAsia="Arial" w:hAnsi="Arial" w:cs="Arial"/>
          <w:color w:val="000000" w:themeColor="text1"/>
        </w:rPr>
        <w:t xml:space="preserve">An example of ‘further relevant facts’ is the material contained in the court file or correspondence from the defence to the prosecution making a submission that, having regard to the weaknesses in the prosecution case, the case should be ‘no-billed’ or otherwise discontinued. </w:t>
      </w:r>
    </w:p>
    <w:p w14:paraId="6785B997" w14:textId="77777777" w:rsidR="00252411" w:rsidRPr="00D674DF" w:rsidRDefault="00252411" w:rsidP="007E111A">
      <w:pPr>
        <w:numPr>
          <w:ilvl w:val="0"/>
          <w:numId w:val="22"/>
        </w:numPr>
        <w:snapToGrid w:val="0"/>
        <w:spacing w:before="240" w:after="240" w:line="360" w:lineRule="auto"/>
        <w:ind w:right="111"/>
        <w:jc w:val="both"/>
        <w:rPr>
          <w:color w:val="000000" w:themeColor="text1"/>
        </w:rPr>
      </w:pPr>
      <w:r w:rsidRPr="00D674DF">
        <w:rPr>
          <w:rFonts w:ascii="Arial" w:eastAsia="Arial" w:hAnsi="Arial" w:cs="Arial"/>
          <w:color w:val="000000" w:themeColor="text1"/>
        </w:rPr>
        <w:t xml:space="preserve">Such evidence would not ordinarily be before the court during committal proceedings or a trial.  </w:t>
      </w:r>
    </w:p>
    <w:p w14:paraId="460756D3" w14:textId="7BFF57D4" w:rsidR="00252411" w:rsidRPr="00D674DF" w:rsidRDefault="00252411" w:rsidP="007E111A">
      <w:pPr>
        <w:numPr>
          <w:ilvl w:val="0"/>
          <w:numId w:val="22"/>
        </w:numPr>
        <w:snapToGrid w:val="0"/>
        <w:spacing w:before="240" w:after="240" w:line="360" w:lineRule="auto"/>
        <w:ind w:right="111"/>
        <w:jc w:val="both"/>
        <w:rPr>
          <w:color w:val="000000" w:themeColor="text1"/>
        </w:rPr>
      </w:pPr>
      <w:r w:rsidRPr="00D674DF">
        <w:rPr>
          <w:rFonts w:ascii="Arial" w:eastAsia="Arial" w:hAnsi="Arial" w:cs="Arial"/>
          <w:color w:val="000000" w:themeColor="text1"/>
        </w:rPr>
        <w:t xml:space="preserve">Such evidence may also include evidence disclosed as part of the brief of evidence but either not relied on by the Crown or ruled inadmissible during the trial.   </w:t>
      </w:r>
    </w:p>
    <w:p w14:paraId="1B858BC4" w14:textId="29CC1BED" w:rsidR="001C06EA" w:rsidRPr="00D674DF" w:rsidRDefault="00FB074A" w:rsidP="00C428E6">
      <w:pPr>
        <w:pStyle w:val="ListParagraph"/>
        <w:numPr>
          <w:ilvl w:val="0"/>
          <w:numId w:val="22"/>
        </w:numPr>
        <w:spacing w:line="360" w:lineRule="auto"/>
        <w:rPr>
          <w:rFonts w:ascii="Arial" w:hAnsi="Arial" w:cs="Arial"/>
          <w:b/>
          <w:bCs/>
          <w:i/>
          <w:iCs/>
          <w:color w:val="000000" w:themeColor="text1"/>
          <w:lang w:val="en-GB"/>
        </w:rPr>
      </w:pPr>
      <w:r w:rsidRPr="00D674DF">
        <w:rPr>
          <w:rFonts w:ascii="Arial" w:hAnsi="Arial" w:cs="Arial"/>
          <w:color w:val="000000" w:themeColor="text1"/>
          <w:lang w:val="en-GB"/>
        </w:rPr>
        <w:t xml:space="preserve">More exceptionally perhaps, the further facts adduced </w:t>
      </w:r>
      <w:r w:rsidR="007D5AC9" w:rsidRPr="00D674DF">
        <w:rPr>
          <w:rFonts w:ascii="Arial" w:eastAsia="Arial" w:hAnsi="Arial" w:cs="Arial"/>
          <w:color w:val="000000" w:themeColor="text1"/>
        </w:rPr>
        <w:t>i</w:t>
      </w:r>
      <w:r w:rsidR="001C06EA" w:rsidRPr="00D674DF">
        <w:rPr>
          <w:rFonts w:ascii="Arial" w:eastAsia="Arial" w:hAnsi="Arial" w:cs="Arial"/>
          <w:color w:val="000000" w:themeColor="text1"/>
        </w:rPr>
        <w:t xml:space="preserve">n the decision of </w:t>
      </w:r>
      <w:r w:rsidR="001C06EA" w:rsidRPr="00D674DF">
        <w:rPr>
          <w:rFonts w:ascii="Arial" w:hAnsi="Arial" w:cs="Arial"/>
          <w:i/>
          <w:iCs/>
          <w:color w:val="000000" w:themeColor="text1"/>
        </w:rPr>
        <w:t>Honeysett v DPP [2023] NSWCCA 215</w:t>
      </w:r>
      <w:r w:rsidR="006B7A53" w:rsidRPr="00D674DF">
        <w:rPr>
          <w:rFonts w:ascii="Arial" w:hAnsi="Arial" w:cs="Arial"/>
          <w:i/>
          <w:iCs/>
          <w:color w:val="000000" w:themeColor="text1"/>
        </w:rPr>
        <w:t xml:space="preserve">, </w:t>
      </w:r>
      <w:r w:rsidR="006B7A53" w:rsidRPr="00D674DF">
        <w:rPr>
          <w:rFonts w:ascii="Arial" w:hAnsi="Arial" w:cs="Arial"/>
          <w:i/>
          <w:iCs/>
          <w:color w:val="000000" w:themeColor="text1"/>
          <w:lang w:val="en-GB"/>
        </w:rPr>
        <w:t>(per Beech-Jones CJ at</w:t>
      </w:r>
      <w:r w:rsidR="006B7A53" w:rsidRPr="00D674DF">
        <w:rPr>
          <w:rFonts w:ascii="Arial" w:hAnsi="Arial" w:cs="Arial"/>
          <w:color w:val="000000" w:themeColor="text1"/>
          <w:lang w:val="en-GB"/>
        </w:rPr>
        <w:t xml:space="preserve"> </w:t>
      </w:r>
      <w:r w:rsidR="006B7A53" w:rsidRPr="00D674DF">
        <w:rPr>
          <w:rFonts w:ascii="Arial" w:hAnsi="Arial" w:cs="Arial"/>
          <w:i/>
          <w:iCs/>
          <w:color w:val="000000" w:themeColor="text1"/>
          <w:lang w:val="en-GB"/>
        </w:rPr>
        <w:t>CL, Fagan and Dhanji JJ agreeing),</w:t>
      </w:r>
      <w:r w:rsidR="00C428E6" w:rsidRPr="00D674DF">
        <w:rPr>
          <w:rFonts w:ascii="Arial" w:hAnsi="Arial" w:cs="Arial"/>
          <w:color w:val="000000" w:themeColor="text1"/>
          <w:lang w:val="en-GB"/>
        </w:rPr>
        <w:t xml:space="preserve"> </w:t>
      </w:r>
      <w:r w:rsidRPr="00D674DF">
        <w:rPr>
          <w:rFonts w:ascii="Arial" w:hAnsi="Arial" w:cs="Arial"/>
          <w:color w:val="000000" w:themeColor="text1"/>
          <w:lang w:val="en-GB"/>
        </w:rPr>
        <w:t>arose</w:t>
      </w:r>
      <w:r w:rsidR="00C428E6" w:rsidRPr="00D674DF">
        <w:rPr>
          <w:rFonts w:ascii="Arial" w:hAnsi="Arial" w:cs="Arial"/>
          <w:color w:val="000000" w:themeColor="text1"/>
          <w:lang w:val="en-GB"/>
        </w:rPr>
        <w:t xml:space="preserve"> from the evidence presented to the Royal Commission into </w:t>
      </w:r>
      <w:r w:rsidR="008577DD" w:rsidRPr="00D674DF">
        <w:rPr>
          <w:rFonts w:ascii="Arial" w:hAnsi="Arial" w:cs="Arial"/>
          <w:color w:val="000000" w:themeColor="text1"/>
          <w:lang w:val="en-GB"/>
        </w:rPr>
        <w:t>the NSW Police Service. The evidence was probative of the fact that the officer</w:t>
      </w:r>
      <w:r w:rsidR="00281633" w:rsidRPr="00D674DF">
        <w:rPr>
          <w:rFonts w:ascii="Arial" w:hAnsi="Arial" w:cs="Arial"/>
          <w:color w:val="000000" w:themeColor="text1"/>
          <w:lang w:val="en-GB"/>
        </w:rPr>
        <w:t>s</w:t>
      </w:r>
      <w:r w:rsidR="008577DD" w:rsidRPr="00D674DF">
        <w:rPr>
          <w:rFonts w:ascii="Arial" w:hAnsi="Arial" w:cs="Arial"/>
          <w:color w:val="000000" w:themeColor="text1"/>
          <w:lang w:val="en-GB"/>
        </w:rPr>
        <w:t xml:space="preserve"> involved in the arrest and investigation of the Applicant had fabricated </w:t>
      </w:r>
      <w:r w:rsidR="004A4375" w:rsidRPr="00D674DF">
        <w:rPr>
          <w:rFonts w:ascii="Arial" w:hAnsi="Arial" w:cs="Arial"/>
          <w:color w:val="000000" w:themeColor="text1"/>
          <w:lang w:val="en-GB"/>
        </w:rPr>
        <w:t xml:space="preserve">material </w:t>
      </w:r>
      <w:r w:rsidR="008577DD" w:rsidRPr="00D674DF">
        <w:rPr>
          <w:rFonts w:ascii="Arial" w:hAnsi="Arial" w:cs="Arial"/>
          <w:color w:val="000000" w:themeColor="text1"/>
          <w:lang w:val="en-GB"/>
        </w:rPr>
        <w:t>evidence</w:t>
      </w:r>
      <w:r w:rsidR="004A4375" w:rsidRPr="00D674DF">
        <w:rPr>
          <w:rFonts w:ascii="Arial" w:hAnsi="Arial" w:cs="Arial"/>
          <w:color w:val="000000" w:themeColor="text1"/>
          <w:lang w:val="en-GB"/>
        </w:rPr>
        <w:t xml:space="preserve"> against him</w:t>
      </w:r>
      <w:r w:rsidR="007D5AC9" w:rsidRPr="00D674DF">
        <w:rPr>
          <w:rFonts w:ascii="Arial" w:hAnsi="Arial" w:cs="Arial"/>
          <w:color w:val="000000" w:themeColor="text1"/>
          <w:lang w:val="en-GB"/>
        </w:rPr>
        <w:t xml:space="preserve"> in the original trial</w:t>
      </w:r>
      <w:r w:rsidR="008577DD" w:rsidRPr="00D674DF">
        <w:rPr>
          <w:rFonts w:ascii="Arial" w:hAnsi="Arial" w:cs="Arial"/>
          <w:color w:val="000000" w:themeColor="text1"/>
          <w:lang w:val="en-GB"/>
        </w:rPr>
        <w:t xml:space="preserve">. Unsurprisingly the Crown did not press that the decision to prosecute had </w:t>
      </w:r>
      <w:r w:rsidR="00B65958" w:rsidRPr="00D674DF">
        <w:rPr>
          <w:rFonts w:ascii="Arial" w:hAnsi="Arial" w:cs="Arial"/>
          <w:color w:val="000000" w:themeColor="text1"/>
          <w:lang w:val="en-GB"/>
        </w:rPr>
        <w:t xml:space="preserve">not </w:t>
      </w:r>
      <w:r w:rsidR="008577DD" w:rsidRPr="00D674DF">
        <w:rPr>
          <w:rFonts w:ascii="Arial" w:hAnsi="Arial" w:cs="Arial"/>
          <w:color w:val="000000" w:themeColor="text1"/>
          <w:lang w:val="en-GB"/>
        </w:rPr>
        <w:t xml:space="preserve">been </w:t>
      </w:r>
      <w:r w:rsidR="00B65958" w:rsidRPr="00D674DF">
        <w:rPr>
          <w:rFonts w:ascii="Arial" w:hAnsi="Arial" w:cs="Arial"/>
          <w:color w:val="000000" w:themeColor="text1"/>
          <w:lang w:val="en-GB"/>
        </w:rPr>
        <w:t>un</w:t>
      </w:r>
      <w:r w:rsidR="008577DD" w:rsidRPr="00D674DF">
        <w:rPr>
          <w:rFonts w:ascii="Arial" w:hAnsi="Arial" w:cs="Arial"/>
          <w:color w:val="000000" w:themeColor="text1"/>
          <w:lang w:val="en-GB"/>
        </w:rPr>
        <w:t>reasonable</w:t>
      </w:r>
      <w:r w:rsidR="00F7735C" w:rsidRPr="00D674DF">
        <w:rPr>
          <w:rFonts w:ascii="Arial" w:hAnsi="Arial" w:cs="Arial"/>
          <w:color w:val="000000" w:themeColor="text1"/>
          <w:lang w:val="en-GB"/>
        </w:rPr>
        <w:t xml:space="preserve">, rather they relied upon the reasoning of Fagan J at first instance in </w:t>
      </w:r>
      <w:r w:rsidR="00F7735C" w:rsidRPr="00D674DF">
        <w:rPr>
          <w:rFonts w:ascii="Arial" w:hAnsi="Arial" w:cs="Arial"/>
          <w:b/>
          <w:bCs/>
          <w:i/>
          <w:iCs/>
          <w:color w:val="000000" w:themeColor="text1"/>
          <w:lang w:val="en-GB"/>
        </w:rPr>
        <w:t>Rodden</w:t>
      </w:r>
      <w:r w:rsidR="00F7735C" w:rsidRPr="00D674DF">
        <w:rPr>
          <w:rFonts w:ascii="Arial" w:hAnsi="Arial" w:cs="Arial"/>
          <w:color w:val="000000" w:themeColor="text1"/>
          <w:lang w:val="en-GB"/>
        </w:rPr>
        <w:t xml:space="preserve"> that the Applicant had been in receipt of Legal Aid. The submissions had been made in </w:t>
      </w:r>
      <w:r w:rsidR="00F7735C" w:rsidRPr="00D674DF">
        <w:rPr>
          <w:rFonts w:ascii="Arial" w:hAnsi="Arial" w:cs="Arial"/>
          <w:b/>
          <w:bCs/>
          <w:i/>
          <w:iCs/>
          <w:color w:val="000000" w:themeColor="text1"/>
          <w:lang w:val="en-GB"/>
        </w:rPr>
        <w:t xml:space="preserve">Honeysett </w:t>
      </w:r>
      <w:r w:rsidR="00281633" w:rsidRPr="00D674DF">
        <w:rPr>
          <w:rFonts w:ascii="Arial" w:hAnsi="Arial" w:cs="Arial"/>
          <w:color w:val="000000" w:themeColor="text1"/>
          <w:lang w:val="en-GB"/>
        </w:rPr>
        <w:t xml:space="preserve">some </w:t>
      </w:r>
      <w:r w:rsidR="00F7735C" w:rsidRPr="00D674DF">
        <w:rPr>
          <w:rFonts w:ascii="Arial" w:hAnsi="Arial" w:cs="Arial"/>
          <w:color w:val="000000" w:themeColor="text1"/>
          <w:lang w:val="en-GB"/>
        </w:rPr>
        <w:t xml:space="preserve">sixteen days before the </w:t>
      </w:r>
      <w:r w:rsidR="00281633" w:rsidRPr="00D674DF">
        <w:rPr>
          <w:rFonts w:ascii="Arial" w:hAnsi="Arial" w:cs="Arial"/>
          <w:color w:val="000000" w:themeColor="text1"/>
          <w:lang w:val="en-GB"/>
        </w:rPr>
        <w:t xml:space="preserve">appeal </w:t>
      </w:r>
      <w:r w:rsidR="00F7735C" w:rsidRPr="00D674DF">
        <w:rPr>
          <w:rFonts w:ascii="Arial" w:hAnsi="Arial" w:cs="Arial"/>
          <w:color w:val="000000" w:themeColor="text1"/>
          <w:lang w:val="en-GB"/>
        </w:rPr>
        <w:t xml:space="preserve">judgment in </w:t>
      </w:r>
      <w:r w:rsidR="00F7735C" w:rsidRPr="00D674DF">
        <w:rPr>
          <w:rFonts w:ascii="Arial" w:hAnsi="Arial" w:cs="Arial"/>
          <w:b/>
          <w:bCs/>
          <w:i/>
          <w:iCs/>
          <w:color w:val="000000" w:themeColor="text1"/>
          <w:lang w:val="en-GB"/>
        </w:rPr>
        <w:t>Rodden</w:t>
      </w:r>
      <w:r w:rsidR="00F7735C" w:rsidRPr="00D674DF">
        <w:rPr>
          <w:rFonts w:ascii="Arial" w:hAnsi="Arial" w:cs="Arial"/>
          <w:color w:val="000000" w:themeColor="text1"/>
          <w:lang w:val="en-GB"/>
        </w:rPr>
        <w:t xml:space="preserve"> was delivered.</w:t>
      </w:r>
      <w:r w:rsidR="007D5AC9" w:rsidRPr="00D674DF">
        <w:rPr>
          <w:rFonts w:ascii="Arial" w:hAnsi="Arial" w:cs="Arial"/>
          <w:color w:val="000000" w:themeColor="text1"/>
          <w:lang w:val="en-GB"/>
        </w:rPr>
        <w:t xml:space="preserve"> The </w:t>
      </w:r>
      <w:r w:rsidR="007D5AC9" w:rsidRPr="00D674DF">
        <w:rPr>
          <w:rFonts w:ascii="Arial" w:hAnsi="Arial" w:cs="Arial"/>
          <w:color w:val="000000" w:themeColor="text1"/>
          <w:lang w:val="en-GB"/>
        </w:rPr>
        <w:lastRenderedPageBreak/>
        <w:t xml:space="preserve">single point left for the Crown to argue having been determined against them in </w:t>
      </w:r>
      <w:r w:rsidR="007D5AC9" w:rsidRPr="00D674DF">
        <w:rPr>
          <w:rFonts w:ascii="Arial" w:hAnsi="Arial" w:cs="Arial"/>
          <w:b/>
          <w:bCs/>
          <w:i/>
          <w:iCs/>
          <w:color w:val="000000" w:themeColor="text1"/>
          <w:lang w:val="en-GB"/>
        </w:rPr>
        <w:t>Rodden</w:t>
      </w:r>
      <w:r w:rsidR="007D5AC9" w:rsidRPr="00D674DF">
        <w:rPr>
          <w:rFonts w:ascii="Arial" w:hAnsi="Arial" w:cs="Arial"/>
          <w:color w:val="000000" w:themeColor="text1"/>
          <w:lang w:val="en-GB"/>
        </w:rPr>
        <w:t>, the Application for the costs certificate was allowed</w:t>
      </w:r>
    </w:p>
    <w:p w14:paraId="337CC0B5" w14:textId="6D4F9785" w:rsidR="001C06EA" w:rsidRPr="00D674DF" w:rsidRDefault="001C06EA" w:rsidP="009547DD">
      <w:pPr>
        <w:snapToGrid w:val="0"/>
        <w:spacing w:before="240" w:after="240" w:line="360" w:lineRule="auto"/>
        <w:ind w:right="111"/>
        <w:jc w:val="both"/>
        <w:rPr>
          <w:color w:val="000000" w:themeColor="text1"/>
        </w:rPr>
      </w:pPr>
    </w:p>
    <w:p w14:paraId="229AB538" w14:textId="5A8E5566" w:rsidR="00252411" w:rsidRPr="00D674DF" w:rsidRDefault="00252411" w:rsidP="00A03A03">
      <w:pPr>
        <w:pStyle w:val="Heading2"/>
        <w:snapToGrid w:val="0"/>
        <w:spacing w:before="240" w:after="240" w:line="360" w:lineRule="auto"/>
        <w:rPr>
          <w:color w:val="000000" w:themeColor="text1"/>
        </w:rPr>
      </w:pPr>
      <w:r w:rsidRPr="00D674DF">
        <w:rPr>
          <w:rFonts w:eastAsia="Arial"/>
          <w:color w:val="000000" w:themeColor="text1"/>
          <w:u w:color="000000"/>
        </w:rPr>
        <w:t>THE REASONABLENESS ISSUE</w:t>
      </w:r>
      <w:r w:rsidRPr="00D674DF">
        <w:rPr>
          <w:rFonts w:eastAsia="Arial"/>
          <w:color w:val="000000" w:themeColor="text1"/>
        </w:rPr>
        <w:t xml:space="preserve">  </w:t>
      </w:r>
    </w:p>
    <w:p w14:paraId="2426F3A5" w14:textId="77777777" w:rsidR="00252411" w:rsidRPr="00D674DF" w:rsidRDefault="00252411" w:rsidP="007E111A">
      <w:pPr>
        <w:numPr>
          <w:ilvl w:val="0"/>
          <w:numId w:val="22"/>
        </w:numPr>
        <w:snapToGrid w:val="0"/>
        <w:spacing w:before="240" w:after="240" w:line="360" w:lineRule="auto"/>
        <w:ind w:right="111"/>
        <w:jc w:val="both"/>
        <w:rPr>
          <w:color w:val="000000" w:themeColor="text1"/>
        </w:rPr>
      </w:pPr>
      <w:r w:rsidRPr="00D674DF">
        <w:rPr>
          <w:rFonts w:ascii="Arial" w:eastAsia="Arial" w:hAnsi="Arial" w:cs="Arial"/>
          <w:color w:val="000000" w:themeColor="text1"/>
        </w:rPr>
        <w:t xml:space="preserve">In </w:t>
      </w:r>
      <w:r w:rsidRPr="00D674DF">
        <w:rPr>
          <w:rFonts w:ascii="Arial" w:eastAsia="Arial" w:hAnsi="Arial" w:cs="Arial"/>
          <w:i/>
          <w:color w:val="000000" w:themeColor="text1"/>
        </w:rPr>
        <w:t xml:space="preserve">Solomons v District Court of New South Wales </w:t>
      </w:r>
      <w:r w:rsidRPr="00D674DF">
        <w:rPr>
          <w:rFonts w:ascii="Arial" w:eastAsia="Arial" w:hAnsi="Arial" w:cs="Arial"/>
          <w:color w:val="000000" w:themeColor="text1"/>
        </w:rPr>
        <w:t>[2002] HCA 47,</w:t>
      </w:r>
      <w:r w:rsidRPr="00D674DF">
        <w:rPr>
          <w:rFonts w:ascii="Arial" w:eastAsia="Arial" w:hAnsi="Arial" w:cs="Arial"/>
          <w:i/>
          <w:color w:val="000000" w:themeColor="text1"/>
        </w:rPr>
        <w:t xml:space="preserve"> </w:t>
      </w:r>
      <w:r w:rsidRPr="00D674DF">
        <w:rPr>
          <w:rFonts w:ascii="Arial" w:eastAsia="Arial" w:hAnsi="Arial" w:cs="Arial"/>
          <w:color w:val="000000" w:themeColor="text1"/>
        </w:rPr>
        <w:t xml:space="preserve">the High Court confirmed that the onus is on the applicant to prove that, </w:t>
      </w:r>
      <w:proofErr w:type="gramStart"/>
      <w:r w:rsidRPr="00D674DF">
        <w:rPr>
          <w:rFonts w:ascii="Arial" w:eastAsia="Arial" w:hAnsi="Arial" w:cs="Arial"/>
          <w:color w:val="000000" w:themeColor="text1"/>
        </w:rPr>
        <w:t>in light of</w:t>
      </w:r>
      <w:proofErr w:type="gramEnd"/>
      <w:r w:rsidRPr="00D674DF">
        <w:rPr>
          <w:rFonts w:ascii="Arial" w:eastAsia="Arial" w:hAnsi="Arial" w:cs="Arial"/>
          <w:color w:val="000000" w:themeColor="text1"/>
        </w:rPr>
        <w:t xml:space="preserve"> evidence now available, it would not have been reasonable to institute proceedings.  </w:t>
      </w:r>
    </w:p>
    <w:p w14:paraId="055DD3AB" w14:textId="77777777" w:rsidR="00252411" w:rsidRPr="00D674DF" w:rsidRDefault="00252411" w:rsidP="007E111A">
      <w:pPr>
        <w:numPr>
          <w:ilvl w:val="0"/>
          <w:numId w:val="22"/>
        </w:numPr>
        <w:snapToGrid w:val="0"/>
        <w:spacing w:before="240" w:after="240" w:line="360" w:lineRule="auto"/>
        <w:ind w:right="111"/>
        <w:jc w:val="both"/>
        <w:rPr>
          <w:color w:val="000000" w:themeColor="text1"/>
        </w:rPr>
      </w:pPr>
      <w:r w:rsidRPr="00D674DF">
        <w:rPr>
          <w:rFonts w:ascii="Arial" w:eastAsia="Arial" w:hAnsi="Arial" w:cs="Arial"/>
          <w:color w:val="000000" w:themeColor="text1"/>
        </w:rPr>
        <w:t xml:space="preserve">In </w:t>
      </w:r>
      <w:r w:rsidRPr="00D674DF">
        <w:rPr>
          <w:rFonts w:ascii="Arial" w:eastAsia="Arial" w:hAnsi="Arial" w:cs="Arial"/>
          <w:i/>
          <w:color w:val="000000" w:themeColor="text1"/>
        </w:rPr>
        <w:t xml:space="preserve">R v Pavy </w:t>
      </w:r>
      <w:r w:rsidRPr="00D674DF">
        <w:rPr>
          <w:rFonts w:ascii="Arial" w:eastAsia="Arial" w:hAnsi="Arial" w:cs="Arial"/>
          <w:color w:val="000000" w:themeColor="text1"/>
        </w:rPr>
        <w:t>(1997) 98 A Crim R 396</w:t>
      </w:r>
      <w:r w:rsidRPr="00D674DF">
        <w:rPr>
          <w:rFonts w:ascii="Arial" w:eastAsia="Arial" w:hAnsi="Arial" w:cs="Arial"/>
          <w:i/>
          <w:color w:val="000000" w:themeColor="text1"/>
        </w:rPr>
        <w:t xml:space="preserve"> </w:t>
      </w:r>
      <w:r w:rsidRPr="00D674DF">
        <w:rPr>
          <w:rFonts w:ascii="Arial" w:eastAsia="Arial" w:hAnsi="Arial" w:cs="Arial"/>
          <w:color w:val="000000" w:themeColor="text1"/>
        </w:rPr>
        <w:t xml:space="preserve">the Court of Criminal Appeal stated the following in relation to reasonableness:  </w:t>
      </w:r>
    </w:p>
    <w:p w14:paraId="7B8DE89C" w14:textId="77777777" w:rsidR="00252411" w:rsidRPr="00D674DF" w:rsidRDefault="00252411" w:rsidP="00A03A03">
      <w:pPr>
        <w:snapToGrid w:val="0"/>
        <w:spacing w:before="240" w:after="240" w:line="360" w:lineRule="auto"/>
        <w:ind w:left="1145" w:right="689" w:hanging="10"/>
        <w:jc w:val="both"/>
        <w:rPr>
          <w:color w:val="000000" w:themeColor="text1"/>
        </w:rPr>
      </w:pPr>
      <w:r w:rsidRPr="00D674DF">
        <w:rPr>
          <w:rFonts w:ascii="Arial" w:eastAsia="Arial" w:hAnsi="Arial" w:cs="Arial"/>
          <w:i/>
          <w:color w:val="000000" w:themeColor="text1"/>
        </w:rPr>
        <w:t xml:space="preserve">The primary test to be applied is whether a certificate (pursuant to section 2 of [the Act]) should be granted is to be found in the wording of s.3(1)(a): if the prosecution had been in possession of all the relevant evidence as it is now known before the proceedings had begun, would it have been reasonable to institute proceedings?  </w:t>
      </w:r>
    </w:p>
    <w:p w14:paraId="0E21B04C" w14:textId="77777777" w:rsidR="00252411" w:rsidRPr="00D674DF" w:rsidRDefault="00252411" w:rsidP="00A03A03">
      <w:pPr>
        <w:snapToGrid w:val="0"/>
        <w:spacing w:before="240" w:after="240" w:line="360" w:lineRule="auto"/>
        <w:ind w:left="1145" w:right="689" w:hanging="10"/>
        <w:jc w:val="both"/>
        <w:rPr>
          <w:color w:val="000000" w:themeColor="text1"/>
        </w:rPr>
      </w:pPr>
      <w:r w:rsidRPr="00D674DF">
        <w:rPr>
          <w:rFonts w:ascii="Arial" w:eastAsia="Arial" w:hAnsi="Arial" w:cs="Arial"/>
          <w:i/>
          <w:color w:val="000000" w:themeColor="text1"/>
        </w:rPr>
        <w:t xml:space="preserve">The section calls for: “A hypothetical exercise in the sense that the question of whether it would have been </w:t>
      </w:r>
      <w:r w:rsidRPr="00D674DF">
        <w:rPr>
          <w:rFonts w:ascii="Arial" w:eastAsia="Arial" w:hAnsi="Arial" w:cs="Arial"/>
          <w:b/>
          <w:bCs/>
          <w:i/>
          <w:color w:val="000000" w:themeColor="text1"/>
        </w:rPr>
        <w:t>reasonable to prosecute</w:t>
      </w:r>
      <w:r w:rsidRPr="00D674DF">
        <w:rPr>
          <w:rFonts w:ascii="Arial" w:eastAsia="Arial" w:hAnsi="Arial" w:cs="Arial"/>
          <w:i/>
          <w:color w:val="000000" w:themeColor="text1"/>
        </w:rPr>
        <w:t xml:space="preserve"> at the time of [the] institution [of the proceedings] if the hypothetical prosecutor had possession of evidence of all the relevant facts including those established even after the trial and on [the] application. The ‘institution of proceedings’ refers to the time of arrest or charge, not some later stage such as committal for trial or finding of a bill”   </w:t>
      </w:r>
    </w:p>
    <w:p w14:paraId="3D74FE65" w14:textId="77777777" w:rsidR="00252411" w:rsidRPr="00D674DF" w:rsidRDefault="00252411" w:rsidP="007E111A">
      <w:pPr>
        <w:numPr>
          <w:ilvl w:val="0"/>
          <w:numId w:val="22"/>
        </w:numPr>
        <w:snapToGrid w:val="0"/>
        <w:spacing w:before="240" w:after="240" w:line="360" w:lineRule="auto"/>
        <w:ind w:right="111"/>
        <w:jc w:val="both"/>
        <w:rPr>
          <w:color w:val="000000" w:themeColor="text1"/>
        </w:rPr>
      </w:pPr>
      <w:r w:rsidRPr="00D674DF">
        <w:rPr>
          <w:rFonts w:ascii="Arial" w:eastAsia="Arial" w:hAnsi="Arial" w:cs="Arial"/>
          <w:i/>
          <w:color w:val="000000" w:themeColor="text1"/>
        </w:rPr>
        <w:t xml:space="preserve">R v Cardona </w:t>
      </w:r>
      <w:r w:rsidRPr="00D674DF">
        <w:rPr>
          <w:rFonts w:ascii="Arial" w:eastAsia="Arial" w:hAnsi="Arial" w:cs="Arial"/>
          <w:color w:val="000000" w:themeColor="text1"/>
        </w:rPr>
        <w:t xml:space="preserve">[2002] NSWSC 823, the following was said of s.3(1)(b) of the Act, per Hidden J:  </w:t>
      </w:r>
    </w:p>
    <w:p w14:paraId="4C5037AA" w14:textId="77777777" w:rsidR="00252411" w:rsidRPr="00D674DF" w:rsidRDefault="00252411" w:rsidP="00A03A03">
      <w:pPr>
        <w:snapToGrid w:val="0"/>
        <w:spacing w:before="240" w:after="240" w:line="360" w:lineRule="auto"/>
        <w:ind w:left="1145" w:right="689" w:hanging="10"/>
        <w:jc w:val="both"/>
        <w:rPr>
          <w:color w:val="000000" w:themeColor="text1"/>
        </w:rPr>
      </w:pPr>
      <w:r w:rsidRPr="00D674DF">
        <w:rPr>
          <w:rFonts w:ascii="Arial" w:eastAsia="Arial" w:hAnsi="Arial" w:cs="Arial"/>
          <w:i/>
          <w:color w:val="000000" w:themeColor="text1"/>
        </w:rPr>
        <w:t xml:space="preserve">A helpful summary of authorities on the approach to that question is to be found in the judgment of Simpson J in </w:t>
      </w:r>
      <w:r w:rsidRPr="00D674DF">
        <w:rPr>
          <w:rFonts w:ascii="Arial" w:eastAsia="Arial" w:hAnsi="Arial" w:cs="Arial"/>
          <w:color w:val="000000" w:themeColor="text1"/>
        </w:rPr>
        <w:t>R v Hatfield</w:t>
      </w:r>
      <w:r w:rsidRPr="00D674DF">
        <w:rPr>
          <w:rFonts w:ascii="Arial" w:eastAsia="Arial" w:hAnsi="Arial" w:cs="Arial"/>
          <w:i/>
          <w:color w:val="000000" w:themeColor="text1"/>
        </w:rPr>
        <w:t xml:space="preserve"> [2001] NSWSC 334 and paragraphs 8-11. Although reference was made in submissions to material in possession of the Crown prior to trial, it is sufficient for present purposes to consider whether it would have been reasonable for the prosecution to have instituted the proceedings in the light of evidence as it emerged at the trial. As Hunt J (as he then was) put it in </w:t>
      </w:r>
      <w:r w:rsidRPr="00D674DF">
        <w:rPr>
          <w:rFonts w:ascii="Arial" w:eastAsia="Arial" w:hAnsi="Arial" w:cs="Arial"/>
          <w:color w:val="000000" w:themeColor="text1"/>
        </w:rPr>
        <w:t>R v Dunne</w:t>
      </w:r>
      <w:r w:rsidRPr="00D674DF">
        <w:rPr>
          <w:rFonts w:ascii="Arial" w:eastAsia="Arial" w:hAnsi="Arial" w:cs="Arial"/>
          <w:i/>
          <w:color w:val="000000" w:themeColor="text1"/>
        </w:rPr>
        <w:t xml:space="preserve"> (unreported, 17 May 1990), I must ‘Put myself in the hypothetical place of the prosecution </w:t>
      </w:r>
      <w:r w:rsidRPr="00D674DF">
        <w:rPr>
          <w:rFonts w:ascii="Arial" w:eastAsia="Arial" w:hAnsi="Arial" w:cs="Arial"/>
          <w:i/>
          <w:color w:val="000000" w:themeColor="text1"/>
        </w:rPr>
        <w:lastRenderedPageBreak/>
        <w:t xml:space="preserve">possessed of knowledge of all the facts which have now become apparent,’ examining the matter with the knowledge gained from such an omniscient crystal ball, it follows that the grant of a certificate would involve no reflection upon the conduct of those having responsibility for the prosecution. </w:t>
      </w:r>
    </w:p>
    <w:p w14:paraId="3C745FD5" w14:textId="77777777" w:rsidR="00252411" w:rsidRPr="00D674DF" w:rsidRDefault="00252411" w:rsidP="007E111A">
      <w:pPr>
        <w:numPr>
          <w:ilvl w:val="0"/>
          <w:numId w:val="22"/>
        </w:numPr>
        <w:snapToGrid w:val="0"/>
        <w:spacing w:before="240" w:after="240" w:line="360" w:lineRule="auto"/>
        <w:ind w:right="111"/>
        <w:jc w:val="both"/>
        <w:rPr>
          <w:color w:val="000000" w:themeColor="text1"/>
        </w:rPr>
      </w:pPr>
      <w:r w:rsidRPr="00D674DF">
        <w:rPr>
          <w:rFonts w:ascii="Arial" w:eastAsia="Arial" w:hAnsi="Arial" w:cs="Arial"/>
          <w:color w:val="000000" w:themeColor="text1"/>
        </w:rPr>
        <w:t xml:space="preserve">Accordingly, on the reasoning in </w:t>
      </w:r>
      <w:r w:rsidRPr="00D674DF">
        <w:rPr>
          <w:rFonts w:ascii="Arial" w:eastAsia="Arial" w:hAnsi="Arial" w:cs="Arial"/>
          <w:i/>
          <w:color w:val="000000" w:themeColor="text1"/>
        </w:rPr>
        <w:t xml:space="preserve">Cardona </w:t>
      </w:r>
      <w:r w:rsidRPr="00D674DF">
        <w:rPr>
          <w:rFonts w:ascii="Arial" w:eastAsia="Arial" w:hAnsi="Arial" w:cs="Arial"/>
          <w:color w:val="000000" w:themeColor="text1"/>
        </w:rPr>
        <w:t xml:space="preserve">and </w:t>
      </w:r>
      <w:r w:rsidRPr="00D674DF">
        <w:rPr>
          <w:rFonts w:ascii="Arial" w:eastAsia="Arial" w:hAnsi="Arial" w:cs="Arial"/>
          <w:i/>
          <w:color w:val="000000" w:themeColor="text1"/>
        </w:rPr>
        <w:t>Pavy</w:t>
      </w:r>
      <w:r w:rsidRPr="00D674DF">
        <w:rPr>
          <w:rFonts w:ascii="Arial" w:eastAsia="Arial" w:hAnsi="Arial" w:cs="Arial"/>
          <w:color w:val="000000" w:themeColor="text1"/>
        </w:rPr>
        <w:t xml:space="preserve">, the court must determine </w:t>
      </w:r>
      <w:proofErr w:type="gramStart"/>
      <w:r w:rsidRPr="00D674DF">
        <w:rPr>
          <w:rFonts w:ascii="Arial" w:eastAsia="Arial" w:hAnsi="Arial" w:cs="Arial"/>
          <w:color w:val="000000" w:themeColor="text1"/>
        </w:rPr>
        <w:t>whether or not</w:t>
      </w:r>
      <w:proofErr w:type="gramEnd"/>
      <w:r w:rsidRPr="00D674DF">
        <w:rPr>
          <w:rFonts w:ascii="Arial" w:eastAsia="Arial" w:hAnsi="Arial" w:cs="Arial"/>
          <w:color w:val="000000" w:themeColor="text1"/>
        </w:rPr>
        <w:t>, with the benefit of hindsight or “</w:t>
      </w:r>
      <w:r w:rsidRPr="00D674DF">
        <w:rPr>
          <w:rFonts w:ascii="Arial" w:eastAsia="Arial" w:hAnsi="Arial" w:cs="Arial"/>
          <w:i/>
          <w:iCs/>
          <w:color w:val="000000" w:themeColor="text1"/>
        </w:rPr>
        <w:t>the omniscient crystal ball</w:t>
      </w:r>
      <w:r w:rsidRPr="00D674DF">
        <w:rPr>
          <w:rFonts w:ascii="Arial" w:eastAsia="Arial" w:hAnsi="Arial" w:cs="Arial"/>
          <w:color w:val="000000" w:themeColor="text1"/>
        </w:rPr>
        <w:t xml:space="preserve">,” it would not have been reasonable for the police to charge the former accused at the time he was in fact charged.  </w:t>
      </w:r>
    </w:p>
    <w:p w14:paraId="578D3782" w14:textId="704DD09C" w:rsidR="00252411" w:rsidRPr="00D674DF" w:rsidRDefault="00252411" w:rsidP="007E111A">
      <w:pPr>
        <w:numPr>
          <w:ilvl w:val="0"/>
          <w:numId w:val="22"/>
        </w:numPr>
        <w:snapToGrid w:val="0"/>
        <w:spacing w:before="240" w:after="240" w:line="360" w:lineRule="auto"/>
        <w:ind w:right="111"/>
        <w:jc w:val="both"/>
        <w:rPr>
          <w:color w:val="000000" w:themeColor="text1"/>
        </w:rPr>
      </w:pPr>
      <w:r w:rsidRPr="00D674DF">
        <w:rPr>
          <w:rFonts w:ascii="Arial" w:eastAsia="Arial" w:hAnsi="Arial" w:cs="Arial"/>
          <w:color w:val="000000" w:themeColor="text1"/>
        </w:rPr>
        <w:t>The reasonableness of a decision to institute proceedings is not based upon the test typically used by prosecuting agencies throughout Australia as a discretionary test for instituting or continuing to prosecute, namely, that a reasonable jury would be likely to convict. The test cannot be a test of reasonable suspicion</w:t>
      </w:r>
      <w:r w:rsidR="00E24D8B" w:rsidRPr="00D674DF">
        <w:rPr>
          <w:rFonts w:ascii="Arial" w:eastAsia="Arial" w:hAnsi="Arial" w:cs="Arial"/>
          <w:color w:val="000000" w:themeColor="text1"/>
        </w:rPr>
        <w:t>, which might justify an arrest, and it cannot be the test that</w:t>
      </w:r>
      <w:r w:rsidRPr="00D674DF">
        <w:rPr>
          <w:rFonts w:ascii="Arial" w:eastAsia="Arial" w:hAnsi="Arial" w:cs="Arial"/>
          <w:color w:val="000000" w:themeColor="text1"/>
        </w:rPr>
        <w:t xml:space="preserve"> determines whether a prosecution is malicious.   </w:t>
      </w:r>
    </w:p>
    <w:p w14:paraId="5F975ADB" w14:textId="77777777" w:rsidR="00252411" w:rsidRPr="00D674DF" w:rsidRDefault="00252411" w:rsidP="007E111A">
      <w:pPr>
        <w:numPr>
          <w:ilvl w:val="0"/>
          <w:numId w:val="22"/>
        </w:numPr>
        <w:snapToGrid w:val="0"/>
        <w:spacing w:before="240" w:after="240" w:line="360" w:lineRule="auto"/>
        <w:ind w:right="111"/>
        <w:jc w:val="both"/>
        <w:rPr>
          <w:color w:val="000000" w:themeColor="text1"/>
        </w:rPr>
      </w:pPr>
      <w:r w:rsidRPr="00D674DF">
        <w:rPr>
          <w:rFonts w:ascii="Arial" w:eastAsia="Arial" w:hAnsi="Arial" w:cs="Arial"/>
          <w:color w:val="000000" w:themeColor="text1"/>
          <w:u w:val="single"/>
        </w:rPr>
        <w:t xml:space="preserve">The question of whether or not the proceedings were initiated without reasonable cause has to be answered by reference to the quality of the evidence which the police had gathered, with an eye not only to enquiries which had been made but also those which should have been </w:t>
      </w:r>
      <w:proofErr w:type="gramStart"/>
      <w:r w:rsidRPr="00D674DF">
        <w:rPr>
          <w:rFonts w:ascii="Arial" w:eastAsia="Arial" w:hAnsi="Arial" w:cs="Arial"/>
          <w:color w:val="000000" w:themeColor="text1"/>
          <w:u w:val="single"/>
        </w:rPr>
        <w:t>made</w:t>
      </w:r>
      <w:r w:rsidRPr="00D674DF">
        <w:rPr>
          <w:rFonts w:ascii="Arial" w:eastAsia="Arial" w:hAnsi="Arial" w:cs="Arial"/>
          <w:color w:val="000000" w:themeColor="text1"/>
        </w:rPr>
        <w:t>:</w:t>
      </w:r>
      <w:proofErr w:type="gramEnd"/>
      <w:r w:rsidRPr="00D674DF">
        <w:rPr>
          <w:rFonts w:ascii="Arial" w:eastAsia="Arial" w:hAnsi="Arial" w:cs="Arial"/>
          <w:color w:val="000000" w:themeColor="text1"/>
        </w:rPr>
        <w:t xml:space="preserve"> </w:t>
      </w:r>
      <w:r w:rsidRPr="00D674DF">
        <w:rPr>
          <w:rFonts w:ascii="Arial" w:eastAsia="Arial" w:hAnsi="Arial" w:cs="Arial"/>
          <w:i/>
          <w:color w:val="000000" w:themeColor="text1"/>
        </w:rPr>
        <w:t>DJ v Director of Public Prosecutions</w:t>
      </w:r>
      <w:r w:rsidRPr="00D674DF">
        <w:rPr>
          <w:rFonts w:ascii="Arial" w:eastAsia="Arial" w:hAnsi="Arial" w:cs="Arial"/>
          <w:color w:val="000000" w:themeColor="text1"/>
        </w:rPr>
        <w:t xml:space="preserve"> [2000] NSWSC 1092, per Hidden J.  </w:t>
      </w:r>
    </w:p>
    <w:p w14:paraId="4C855B39" w14:textId="77777777" w:rsidR="00252411" w:rsidRPr="00D674DF" w:rsidRDefault="00252411" w:rsidP="007E111A">
      <w:pPr>
        <w:numPr>
          <w:ilvl w:val="0"/>
          <w:numId w:val="22"/>
        </w:numPr>
        <w:snapToGrid w:val="0"/>
        <w:spacing w:before="240" w:after="240" w:line="360" w:lineRule="auto"/>
        <w:ind w:right="111"/>
        <w:jc w:val="both"/>
        <w:rPr>
          <w:color w:val="000000" w:themeColor="text1"/>
        </w:rPr>
      </w:pPr>
      <w:r w:rsidRPr="00D674DF">
        <w:rPr>
          <w:rFonts w:ascii="Arial" w:eastAsia="Arial" w:hAnsi="Arial" w:cs="Arial"/>
          <w:color w:val="000000" w:themeColor="text1"/>
        </w:rPr>
        <w:t xml:space="preserve">In </w:t>
      </w:r>
      <w:r w:rsidRPr="00D674DF">
        <w:rPr>
          <w:rFonts w:ascii="Arial" w:eastAsia="Arial" w:hAnsi="Arial" w:cs="Arial"/>
          <w:i/>
          <w:color w:val="000000" w:themeColor="text1"/>
        </w:rPr>
        <w:t xml:space="preserve">R v Dunne </w:t>
      </w:r>
      <w:r w:rsidRPr="00D674DF">
        <w:rPr>
          <w:rFonts w:ascii="Arial" w:eastAsia="Arial" w:hAnsi="Arial" w:cs="Arial"/>
          <w:color w:val="000000" w:themeColor="text1"/>
        </w:rPr>
        <w:t xml:space="preserve">(unreported, NSWSC 17 May 1990), Hunt J said the following:  </w:t>
      </w:r>
    </w:p>
    <w:p w14:paraId="3309877A" w14:textId="77777777" w:rsidR="00252411" w:rsidRPr="00D674DF" w:rsidRDefault="00252411" w:rsidP="00A03A03">
      <w:pPr>
        <w:snapToGrid w:val="0"/>
        <w:spacing w:before="240" w:after="240" w:line="360" w:lineRule="auto"/>
        <w:ind w:left="1145" w:right="689" w:hanging="10"/>
        <w:jc w:val="both"/>
        <w:rPr>
          <w:color w:val="000000" w:themeColor="text1"/>
        </w:rPr>
      </w:pPr>
      <w:r w:rsidRPr="00D674DF">
        <w:rPr>
          <w:rFonts w:ascii="Arial" w:eastAsia="Arial" w:hAnsi="Arial" w:cs="Arial"/>
          <w:i/>
          <w:color w:val="000000" w:themeColor="text1"/>
        </w:rPr>
        <w:t xml:space="preserve">As I understand the provision of s.3, I have to put myself in the hypothetical place of the prosecution possessed of knowledge of all of the facts which have now become apparent, either at trial or by way of additional evidence in the application, and I have to determine whether, with the knowledge gained from such an omniscient crystal ball it would have been unreasonable to institute the prosecution.  </w:t>
      </w:r>
    </w:p>
    <w:p w14:paraId="692CA8B6" w14:textId="27BD1E39" w:rsidR="00252411" w:rsidRPr="00D674DF" w:rsidRDefault="00252411" w:rsidP="007E111A">
      <w:pPr>
        <w:numPr>
          <w:ilvl w:val="0"/>
          <w:numId w:val="22"/>
        </w:numPr>
        <w:snapToGrid w:val="0"/>
        <w:spacing w:before="240" w:after="240" w:line="360" w:lineRule="auto"/>
        <w:ind w:right="54"/>
        <w:jc w:val="both"/>
        <w:rPr>
          <w:color w:val="000000" w:themeColor="text1"/>
        </w:rPr>
      </w:pPr>
      <w:r w:rsidRPr="00D674DF">
        <w:rPr>
          <w:rFonts w:ascii="Arial" w:eastAsia="Arial" w:hAnsi="Arial" w:cs="Arial"/>
          <w:color w:val="000000" w:themeColor="text1"/>
        </w:rPr>
        <w:t xml:space="preserve">The fact that a prosecution may be launched where there is evidence to establish a </w:t>
      </w:r>
      <w:r w:rsidRPr="00D674DF">
        <w:rPr>
          <w:rFonts w:ascii="Arial" w:eastAsia="Arial" w:hAnsi="Arial" w:cs="Arial"/>
          <w:i/>
          <w:color w:val="000000" w:themeColor="text1"/>
        </w:rPr>
        <w:t>prima facie</w:t>
      </w:r>
      <w:r w:rsidRPr="00D674DF">
        <w:rPr>
          <w:rFonts w:ascii="Arial" w:eastAsia="Arial" w:hAnsi="Arial" w:cs="Arial"/>
          <w:color w:val="000000" w:themeColor="text1"/>
        </w:rPr>
        <w:t xml:space="preserve"> case does not mean that it is reasonable to launch a prosecution; there may be cases where there is contrary evidence and where it is reasonable to expect a prosecutor to make some evaluation of that evidence. Moreover, s</w:t>
      </w:r>
      <w:r w:rsidR="00E24D8B" w:rsidRPr="00D674DF">
        <w:rPr>
          <w:rFonts w:ascii="Arial" w:eastAsia="Arial" w:hAnsi="Arial" w:cs="Arial"/>
          <w:color w:val="000000" w:themeColor="text1"/>
        </w:rPr>
        <w:t xml:space="preserve">ection </w:t>
      </w:r>
      <w:r w:rsidRPr="00D674DF">
        <w:rPr>
          <w:rFonts w:ascii="Arial" w:eastAsia="Arial" w:hAnsi="Arial" w:cs="Arial"/>
          <w:color w:val="000000" w:themeColor="text1"/>
        </w:rPr>
        <w:t xml:space="preserve">3 calls for an objective analysis of the whole of the relevant evidence, particularly, consideration of </w:t>
      </w:r>
      <w:proofErr w:type="gramStart"/>
      <w:r w:rsidRPr="00D674DF">
        <w:rPr>
          <w:rFonts w:ascii="Arial" w:eastAsia="Arial" w:hAnsi="Arial" w:cs="Arial"/>
          <w:color w:val="000000" w:themeColor="text1"/>
        </w:rPr>
        <w:t>whether or not</w:t>
      </w:r>
      <w:proofErr w:type="gramEnd"/>
      <w:r w:rsidRPr="00D674DF">
        <w:rPr>
          <w:rFonts w:ascii="Arial" w:eastAsia="Arial" w:hAnsi="Arial" w:cs="Arial"/>
          <w:color w:val="000000" w:themeColor="text1"/>
        </w:rPr>
        <w:t xml:space="preserve"> there is an inherent weakness in the prosecution case, including matters of judgment concerning credibility: </w:t>
      </w:r>
      <w:r w:rsidRPr="00D674DF">
        <w:rPr>
          <w:rFonts w:ascii="Arial" w:eastAsia="Arial" w:hAnsi="Arial" w:cs="Arial"/>
          <w:i/>
          <w:color w:val="000000" w:themeColor="text1"/>
        </w:rPr>
        <w:t xml:space="preserve">R v Manley </w:t>
      </w:r>
      <w:r w:rsidRPr="00D674DF">
        <w:rPr>
          <w:rFonts w:ascii="Arial" w:eastAsia="Arial" w:hAnsi="Arial" w:cs="Arial"/>
          <w:color w:val="000000" w:themeColor="text1"/>
        </w:rPr>
        <w:t>(2000) 112 A Crim R 570</w:t>
      </w:r>
      <w:r w:rsidRPr="00D674DF">
        <w:rPr>
          <w:rFonts w:ascii="Arial" w:eastAsia="Arial" w:hAnsi="Arial" w:cs="Arial"/>
          <w:i/>
          <w:color w:val="000000" w:themeColor="text1"/>
        </w:rPr>
        <w:t xml:space="preserve">, </w:t>
      </w:r>
      <w:r w:rsidRPr="00D674DF">
        <w:rPr>
          <w:rFonts w:ascii="Arial" w:eastAsia="Arial" w:hAnsi="Arial" w:cs="Arial"/>
          <w:color w:val="000000" w:themeColor="text1"/>
        </w:rPr>
        <w:t xml:space="preserve">per Wood CJ at CL, at [14]. </w:t>
      </w:r>
    </w:p>
    <w:p w14:paraId="71513345" w14:textId="77777777" w:rsidR="00252411" w:rsidRPr="00D674DF" w:rsidRDefault="00252411" w:rsidP="007E111A">
      <w:pPr>
        <w:numPr>
          <w:ilvl w:val="0"/>
          <w:numId w:val="22"/>
        </w:numPr>
        <w:snapToGrid w:val="0"/>
        <w:spacing w:before="240" w:after="240" w:line="360" w:lineRule="auto"/>
        <w:ind w:right="111"/>
        <w:jc w:val="both"/>
        <w:rPr>
          <w:color w:val="000000" w:themeColor="text1"/>
        </w:rPr>
      </w:pPr>
      <w:r w:rsidRPr="00D674DF">
        <w:rPr>
          <w:rFonts w:ascii="Arial" w:eastAsia="Arial" w:hAnsi="Arial" w:cs="Arial"/>
          <w:i/>
          <w:color w:val="000000" w:themeColor="text1"/>
        </w:rPr>
        <w:lastRenderedPageBreak/>
        <w:t>R v Manley</w:t>
      </w:r>
      <w:r w:rsidRPr="00D674DF">
        <w:rPr>
          <w:rFonts w:ascii="Arial" w:eastAsia="Arial" w:hAnsi="Arial" w:cs="Arial"/>
          <w:color w:val="000000" w:themeColor="text1"/>
        </w:rPr>
        <w:t xml:space="preserve"> was followed in </w:t>
      </w:r>
      <w:r w:rsidRPr="00D674DF">
        <w:rPr>
          <w:rFonts w:ascii="Arial" w:eastAsia="Arial" w:hAnsi="Arial" w:cs="Arial"/>
          <w:i/>
          <w:color w:val="000000" w:themeColor="text1"/>
        </w:rPr>
        <w:t>R v DJY</w:t>
      </w:r>
      <w:r w:rsidRPr="00D674DF">
        <w:rPr>
          <w:rFonts w:ascii="Arial" w:eastAsia="Arial" w:hAnsi="Arial" w:cs="Arial"/>
          <w:color w:val="000000" w:themeColor="text1"/>
        </w:rPr>
        <w:t xml:space="preserve"> [2012] NSWDC 59, where Berman SC DCJ stated at [15]: </w:t>
      </w:r>
    </w:p>
    <w:p w14:paraId="5328C026" w14:textId="77777777" w:rsidR="00252411" w:rsidRPr="00D674DF" w:rsidRDefault="00252411" w:rsidP="00A03A03">
      <w:pPr>
        <w:snapToGrid w:val="0"/>
        <w:spacing w:before="240" w:after="240" w:line="360" w:lineRule="auto"/>
        <w:ind w:left="1145" w:right="689" w:hanging="10"/>
        <w:jc w:val="both"/>
        <w:rPr>
          <w:rFonts w:ascii="Arial" w:eastAsia="Arial" w:hAnsi="Arial" w:cs="Arial"/>
          <w:i/>
          <w:color w:val="000000" w:themeColor="text1"/>
        </w:rPr>
      </w:pPr>
      <w:r w:rsidRPr="00D674DF">
        <w:rPr>
          <w:rFonts w:ascii="Arial" w:eastAsia="Arial" w:hAnsi="Arial" w:cs="Arial"/>
          <w:i/>
          <w:color w:val="000000" w:themeColor="text1"/>
        </w:rPr>
        <w:t xml:space="preserve">This matter I think is finely balanced, but even given the difficulties that have been identified with the credibility of the complainant it was always ultimately going to be a question as to whether she would appear as credible, her demeanour was a matter of great importance and as Wood CJ at CL observed, matters of judgment concerning credibility, demeanour and the like are likely to fall on the other side of unreasonableness, being matters quintessentially within the realm of the trier of fact, whether it be judge or jury. </w:t>
      </w:r>
    </w:p>
    <w:p w14:paraId="37FB7E8C" w14:textId="3600D6A1" w:rsidR="001B54C5" w:rsidRPr="00D674DF" w:rsidRDefault="001B54C5" w:rsidP="001B54C5">
      <w:pPr>
        <w:pStyle w:val="ListParagraph"/>
        <w:snapToGrid w:val="0"/>
        <w:spacing w:before="240" w:after="240" w:line="360" w:lineRule="auto"/>
        <w:ind w:left="0" w:right="111"/>
        <w:jc w:val="both"/>
        <w:rPr>
          <w:color w:val="000000" w:themeColor="text1"/>
        </w:rPr>
      </w:pPr>
      <w:r w:rsidRPr="00D674DF">
        <w:rPr>
          <w:rFonts w:ascii="Arial" w:eastAsia="Arial" w:hAnsi="Arial" w:cs="Arial"/>
          <w:color w:val="000000" w:themeColor="text1"/>
        </w:rPr>
        <w:t xml:space="preserve">His Honour held that while there were matters contradictory to the complainant’s account, which might give a hypothetical prosecutor some pause and some cause of concern, there were explanations for those contradictory matters which were themselves not inherently unbelievable. His Honour declined the application to grant a certificate under the Act. </w:t>
      </w:r>
    </w:p>
    <w:p w14:paraId="226CD188" w14:textId="1C40AE82" w:rsidR="00625DED" w:rsidRPr="00D674DF" w:rsidRDefault="00625DED" w:rsidP="001022FE">
      <w:pPr>
        <w:pStyle w:val="ListParagraph"/>
        <w:numPr>
          <w:ilvl w:val="0"/>
          <w:numId w:val="22"/>
        </w:numPr>
        <w:autoSpaceDE w:val="0"/>
        <w:autoSpaceDN w:val="0"/>
        <w:adjustRightInd w:val="0"/>
        <w:spacing w:after="0" w:line="360" w:lineRule="auto"/>
        <w:rPr>
          <w:rFonts w:ascii="Arial" w:hAnsi="Arial" w:cs="Arial"/>
          <w:color w:val="000000" w:themeColor="text1"/>
          <w:lang w:val="en-GB"/>
        </w:rPr>
      </w:pPr>
      <w:r w:rsidRPr="00D674DF">
        <w:rPr>
          <w:rFonts w:ascii="Arial" w:hAnsi="Arial" w:cs="Arial"/>
          <w:iCs/>
          <w:color w:val="000000" w:themeColor="text1"/>
        </w:rPr>
        <w:t xml:space="preserve">The decision frequently cited on the point about any assessment of witness credibility, indeed cited in </w:t>
      </w:r>
      <w:r w:rsidR="00177648" w:rsidRPr="00D674DF">
        <w:rPr>
          <w:rFonts w:ascii="Arial" w:hAnsi="Arial" w:cs="Arial"/>
          <w:iCs/>
          <w:color w:val="000000" w:themeColor="text1"/>
        </w:rPr>
        <w:t>eighty-one</w:t>
      </w:r>
      <w:r w:rsidRPr="00D674DF">
        <w:rPr>
          <w:rFonts w:ascii="Arial" w:hAnsi="Arial" w:cs="Arial"/>
          <w:iCs/>
          <w:color w:val="000000" w:themeColor="text1"/>
        </w:rPr>
        <w:t xml:space="preserve"> cases since the case was determined in 2007, is </w:t>
      </w:r>
      <w:r w:rsidRPr="00D674DF">
        <w:rPr>
          <w:rFonts w:ascii="Arial" w:hAnsi="Arial" w:cs="Arial"/>
          <w:i/>
          <w:iCs/>
          <w:color w:val="000000" w:themeColor="text1"/>
          <w:lang w:val="en-GB"/>
        </w:rPr>
        <w:t xml:space="preserve">Mordaunt v Director of Public Prosecutions &amp; Anor [2007] NSWCA 121 (“Mordaunt”) by McColl JA (Beazley and Hodgson JJA agreeing.) </w:t>
      </w:r>
      <w:r w:rsidRPr="00D674DF">
        <w:rPr>
          <w:rFonts w:ascii="Arial" w:hAnsi="Arial" w:cs="Arial"/>
          <w:color w:val="000000" w:themeColor="text1"/>
          <w:lang w:val="en-GB"/>
        </w:rPr>
        <w:t>At paragraph [36]:</w:t>
      </w:r>
    </w:p>
    <w:p w14:paraId="70E61215" w14:textId="77777777" w:rsidR="00277CD0" w:rsidRPr="00D674DF" w:rsidRDefault="00277CD0" w:rsidP="001022FE">
      <w:pPr>
        <w:pStyle w:val="ListParagraph"/>
        <w:autoSpaceDE w:val="0"/>
        <w:autoSpaceDN w:val="0"/>
        <w:adjustRightInd w:val="0"/>
        <w:spacing w:after="0" w:line="360" w:lineRule="auto"/>
        <w:ind w:left="0"/>
        <w:rPr>
          <w:rFonts w:ascii="Arial" w:hAnsi="Arial" w:cs="Arial"/>
          <w:color w:val="000000" w:themeColor="text1"/>
          <w:lang w:val="en-GB"/>
        </w:rPr>
      </w:pPr>
    </w:p>
    <w:p w14:paraId="737E6668" w14:textId="3489FFD5" w:rsidR="00625DED" w:rsidRPr="00D674DF" w:rsidRDefault="00277CD0" w:rsidP="001022FE">
      <w:pPr>
        <w:autoSpaceDE w:val="0"/>
        <w:autoSpaceDN w:val="0"/>
        <w:adjustRightInd w:val="0"/>
        <w:spacing w:after="0" w:line="360" w:lineRule="auto"/>
        <w:rPr>
          <w:rFonts w:ascii="Arial" w:hAnsi="Arial" w:cs="Arial"/>
          <w:i/>
          <w:iCs/>
          <w:color w:val="000000" w:themeColor="text1"/>
          <w:lang w:val="en-GB"/>
        </w:rPr>
      </w:pPr>
      <w:r w:rsidRPr="00D674DF">
        <w:rPr>
          <w:rFonts w:ascii="Arial" w:hAnsi="Arial" w:cs="Arial"/>
          <w:i/>
          <w:iCs/>
          <w:color w:val="000000" w:themeColor="text1"/>
          <w:lang w:val="en-GB"/>
        </w:rPr>
        <w:t>“</w:t>
      </w:r>
      <w:r w:rsidR="00625DED" w:rsidRPr="00D674DF">
        <w:rPr>
          <w:rFonts w:ascii="Arial" w:hAnsi="Arial" w:cs="Arial"/>
          <w:i/>
          <w:iCs/>
          <w:color w:val="000000" w:themeColor="text1"/>
          <w:lang w:val="en-GB"/>
        </w:rPr>
        <w:t>Section 3 calls for an objective analysis of the whole of the relevant evidence,</w:t>
      </w:r>
    </w:p>
    <w:p w14:paraId="532B9C31" w14:textId="77777777" w:rsidR="00625DED" w:rsidRPr="00D674DF" w:rsidRDefault="00625DED" w:rsidP="001022FE">
      <w:pPr>
        <w:autoSpaceDE w:val="0"/>
        <w:autoSpaceDN w:val="0"/>
        <w:adjustRightInd w:val="0"/>
        <w:spacing w:after="0" w:line="360" w:lineRule="auto"/>
        <w:rPr>
          <w:rFonts w:ascii="Arial" w:hAnsi="Arial" w:cs="Arial"/>
          <w:i/>
          <w:iCs/>
          <w:color w:val="000000" w:themeColor="text1"/>
          <w:lang w:val="en-GB"/>
        </w:rPr>
      </w:pPr>
      <w:r w:rsidRPr="00D674DF">
        <w:rPr>
          <w:rFonts w:ascii="Arial" w:hAnsi="Arial" w:cs="Arial"/>
          <w:i/>
          <w:iCs/>
          <w:color w:val="000000" w:themeColor="text1"/>
          <w:lang w:val="en-GB"/>
        </w:rPr>
        <w:t>and particularly the extent to which there is any contradiction of expert</w:t>
      </w:r>
    </w:p>
    <w:p w14:paraId="4B13D9BE" w14:textId="77777777" w:rsidR="00625DED" w:rsidRPr="00D674DF" w:rsidRDefault="00625DED" w:rsidP="001022FE">
      <w:pPr>
        <w:autoSpaceDE w:val="0"/>
        <w:autoSpaceDN w:val="0"/>
        <w:adjustRightInd w:val="0"/>
        <w:spacing w:after="0" w:line="360" w:lineRule="auto"/>
        <w:rPr>
          <w:rFonts w:ascii="Arial" w:hAnsi="Arial" w:cs="Arial"/>
          <w:i/>
          <w:iCs/>
          <w:color w:val="000000" w:themeColor="text1"/>
          <w:lang w:val="en-GB"/>
        </w:rPr>
      </w:pPr>
      <w:r w:rsidRPr="00D674DF">
        <w:rPr>
          <w:rFonts w:ascii="Arial" w:hAnsi="Arial" w:cs="Arial"/>
          <w:i/>
          <w:iCs/>
          <w:color w:val="000000" w:themeColor="text1"/>
          <w:lang w:val="en-GB"/>
        </w:rPr>
        <w:t>evidence concerning central facts necessary to establish guilt or inherent</w:t>
      </w:r>
    </w:p>
    <w:p w14:paraId="539534F9" w14:textId="77777777" w:rsidR="00625DED" w:rsidRPr="00D674DF" w:rsidRDefault="00625DED" w:rsidP="001022FE">
      <w:pPr>
        <w:autoSpaceDE w:val="0"/>
        <w:autoSpaceDN w:val="0"/>
        <w:adjustRightInd w:val="0"/>
        <w:spacing w:after="0" w:line="360" w:lineRule="auto"/>
        <w:rPr>
          <w:rFonts w:ascii="Arial" w:hAnsi="Arial" w:cs="Arial"/>
          <w:i/>
          <w:iCs/>
          <w:color w:val="000000" w:themeColor="text1"/>
          <w:lang w:val="en-GB"/>
        </w:rPr>
      </w:pPr>
      <w:r w:rsidRPr="00D674DF">
        <w:rPr>
          <w:rFonts w:ascii="Arial" w:hAnsi="Arial" w:cs="Arial"/>
          <w:i/>
          <w:iCs/>
          <w:color w:val="000000" w:themeColor="text1"/>
          <w:lang w:val="en-GB"/>
        </w:rPr>
        <w:t>weaknesses in the prosecution case; matters of judgment concerning</w:t>
      </w:r>
    </w:p>
    <w:p w14:paraId="1E1E2454" w14:textId="77777777" w:rsidR="00625DED" w:rsidRPr="00D674DF" w:rsidRDefault="00625DED" w:rsidP="001022FE">
      <w:pPr>
        <w:autoSpaceDE w:val="0"/>
        <w:autoSpaceDN w:val="0"/>
        <w:adjustRightInd w:val="0"/>
        <w:spacing w:after="0" w:line="360" w:lineRule="auto"/>
        <w:rPr>
          <w:rFonts w:ascii="Arial" w:hAnsi="Arial" w:cs="Arial"/>
          <w:i/>
          <w:iCs/>
          <w:color w:val="000000" w:themeColor="text1"/>
          <w:lang w:val="en-GB"/>
        </w:rPr>
      </w:pPr>
      <w:r w:rsidRPr="00D674DF">
        <w:rPr>
          <w:rFonts w:ascii="Arial" w:hAnsi="Arial" w:cs="Arial"/>
          <w:i/>
          <w:iCs/>
          <w:color w:val="000000" w:themeColor="text1"/>
          <w:lang w:val="en-GB"/>
        </w:rPr>
        <w:t>credibility, demeanour and the like are likely to fall on the other side of the line</w:t>
      </w:r>
    </w:p>
    <w:p w14:paraId="05646543" w14:textId="77777777" w:rsidR="00625DED" w:rsidRPr="00D674DF" w:rsidRDefault="00625DED" w:rsidP="001022FE">
      <w:pPr>
        <w:autoSpaceDE w:val="0"/>
        <w:autoSpaceDN w:val="0"/>
        <w:adjustRightInd w:val="0"/>
        <w:spacing w:after="0" w:line="360" w:lineRule="auto"/>
        <w:rPr>
          <w:rFonts w:ascii="Arial" w:hAnsi="Arial" w:cs="Arial"/>
          <w:i/>
          <w:iCs/>
          <w:color w:val="000000" w:themeColor="text1"/>
          <w:lang w:val="en-GB"/>
        </w:rPr>
      </w:pPr>
      <w:r w:rsidRPr="00D674DF">
        <w:rPr>
          <w:rFonts w:ascii="Arial" w:hAnsi="Arial" w:cs="Arial"/>
          <w:i/>
          <w:iCs/>
          <w:color w:val="000000" w:themeColor="text1"/>
          <w:lang w:val="en-GB"/>
        </w:rPr>
        <w:t>of unreasonableness, being matters quintessentially within the realm of the</w:t>
      </w:r>
    </w:p>
    <w:p w14:paraId="778D7E66" w14:textId="77777777" w:rsidR="00625DED" w:rsidRPr="00D674DF" w:rsidRDefault="00625DED" w:rsidP="001022FE">
      <w:pPr>
        <w:autoSpaceDE w:val="0"/>
        <w:autoSpaceDN w:val="0"/>
        <w:adjustRightInd w:val="0"/>
        <w:spacing w:after="0" w:line="360" w:lineRule="auto"/>
        <w:rPr>
          <w:rFonts w:ascii="Arial" w:hAnsi="Arial" w:cs="Arial"/>
          <w:i/>
          <w:iCs/>
          <w:color w:val="000000" w:themeColor="text1"/>
          <w:lang w:val="en-GB"/>
        </w:rPr>
      </w:pPr>
      <w:r w:rsidRPr="00D674DF">
        <w:rPr>
          <w:rFonts w:ascii="Arial" w:hAnsi="Arial" w:cs="Arial"/>
          <w:i/>
          <w:iCs/>
          <w:color w:val="000000" w:themeColor="text1"/>
          <w:lang w:val="en-GB"/>
        </w:rPr>
        <w:t>ultimate fact finder, whether it be Judge or Jury; it is not sufficient to establish</w:t>
      </w:r>
    </w:p>
    <w:p w14:paraId="0A36FEB4" w14:textId="77777777" w:rsidR="00625DED" w:rsidRPr="00D674DF" w:rsidRDefault="00625DED" w:rsidP="001022FE">
      <w:pPr>
        <w:autoSpaceDE w:val="0"/>
        <w:autoSpaceDN w:val="0"/>
        <w:adjustRightInd w:val="0"/>
        <w:spacing w:after="0" w:line="360" w:lineRule="auto"/>
        <w:rPr>
          <w:rFonts w:ascii="Arial" w:hAnsi="Arial" w:cs="Arial"/>
          <w:i/>
          <w:iCs/>
          <w:color w:val="000000" w:themeColor="text1"/>
          <w:lang w:val="en-GB"/>
        </w:rPr>
      </w:pPr>
      <w:r w:rsidRPr="00D674DF">
        <w:rPr>
          <w:rFonts w:ascii="Arial" w:hAnsi="Arial" w:cs="Arial"/>
          <w:i/>
          <w:iCs/>
          <w:color w:val="000000" w:themeColor="text1"/>
          <w:lang w:val="en-GB"/>
        </w:rPr>
        <w:t>the issue of unreasonableness in favour of an applicant for a certificate that, in</w:t>
      </w:r>
    </w:p>
    <w:p w14:paraId="7AD5E560" w14:textId="77777777" w:rsidR="00625DED" w:rsidRPr="00D674DF" w:rsidRDefault="00625DED" w:rsidP="001022FE">
      <w:pPr>
        <w:autoSpaceDE w:val="0"/>
        <w:autoSpaceDN w:val="0"/>
        <w:adjustRightInd w:val="0"/>
        <w:spacing w:after="0" w:line="360" w:lineRule="auto"/>
        <w:rPr>
          <w:rFonts w:ascii="Arial" w:hAnsi="Arial" w:cs="Arial"/>
          <w:i/>
          <w:iCs/>
          <w:color w:val="000000" w:themeColor="text1"/>
          <w:lang w:val="en-GB"/>
        </w:rPr>
      </w:pPr>
      <w:r w:rsidRPr="00D674DF">
        <w:rPr>
          <w:rFonts w:ascii="Arial" w:hAnsi="Arial" w:cs="Arial"/>
          <w:i/>
          <w:iCs/>
          <w:color w:val="000000" w:themeColor="text1"/>
          <w:lang w:val="en-GB"/>
        </w:rPr>
        <w:t xml:space="preserve">the end, the question for the jury depended upon word against </w:t>
      </w:r>
      <w:proofErr w:type="gramStart"/>
      <w:r w:rsidRPr="00D674DF">
        <w:rPr>
          <w:rFonts w:ascii="Arial" w:hAnsi="Arial" w:cs="Arial"/>
          <w:i/>
          <w:iCs/>
          <w:color w:val="000000" w:themeColor="text1"/>
          <w:lang w:val="en-GB"/>
        </w:rPr>
        <w:t>word;</w:t>
      </w:r>
      <w:proofErr w:type="gramEnd"/>
      <w:r w:rsidRPr="00D674DF">
        <w:rPr>
          <w:rFonts w:ascii="Arial" w:hAnsi="Arial" w:cs="Arial"/>
          <w:i/>
          <w:iCs/>
          <w:color w:val="000000" w:themeColor="text1"/>
          <w:lang w:val="en-GB"/>
        </w:rPr>
        <w:t xml:space="preserve"> in a</w:t>
      </w:r>
    </w:p>
    <w:p w14:paraId="7ACD9798" w14:textId="77777777" w:rsidR="00625DED" w:rsidRPr="00D674DF" w:rsidRDefault="00625DED" w:rsidP="001022FE">
      <w:pPr>
        <w:autoSpaceDE w:val="0"/>
        <w:autoSpaceDN w:val="0"/>
        <w:adjustRightInd w:val="0"/>
        <w:spacing w:after="0" w:line="360" w:lineRule="auto"/>
        <w:rPr>
          <w:rFonts w:ascii="Arial" w:hAnsi="Arial" w:cs="Arial"/>
          <w:i/>
          <w:iCs/>
          <w:color w:val="000000" w:themeColor="text1"/>
          <w:lang w:val="en-GB"/>
        </w:rPr>
      </w:pPr>
      <w:r w:rsidRPr="00D674DF">
        <w:rPr>
          <w:rFonts w:ascii="Arial" w:hAnsi="Arial" w:cs="Arial"/>
          <w:i/>
          <w:iCs/>
          <w:color w:val="000000" w:themeColor="text1"/>
          <w:lang w:val="en-GB"/>
        </w:rPr>
        <w:t>majority of such cases it would be quite reasonable for the prosecution to allow</w:t>
      </w:r>
    </w:p>
    <w:p w14:paraId="3C3DAF02" w14:textId="77777777" w:rsidR="00625DED" w:rsidRPr="00D674DF" w:rsidRDefault="00625DED" w:rsidP="001022FE">
      <w:pPr>
        <w:autoSpaceDE w:val="0"/>
        <w:autoSpaceDN w:val="0"/>
        <w:adjustRightInd w:val="0"/>
        <w:spacing w:after="0" w:line="360" w:lineRule="auto"/>
        <w:rPr>
          <w:rFonts w:ascii="Arial" w:hAnsi="Arial" w:cs="Arial"/>
          <w:i/>
          <w:iCs/>
          <w:color w:val="000000" w:themeColor="text1"/>
          <w:lang w:val="en-GB"/>
        </w:rPr>
      </w:pPr>
      <w:r w:rsidRPr="00D674DF">
        <w:rPr>
          <w:rFonts w:ascii="Arial" w:hAnsi="Arial" w:cs="Arial"/>
          <w:i/>
          <w:iCs/>
          <w:color w:val="000000" w:themeColor="text1"/>
          <w:lang w:val="en-GB"/>
        </w:rPr>
        <w:t>those matters to be decided by a jury; it would be different where the word</w:t>
      </w:r>
    </w:p>
    <w:p w14:paraId="256FC542" w14:textId="77777777" w:rsidR="00625DED" w:rsidRPr="00D674DF" w:rsidRDefault="00625DED" w:rsidP="001022FE">
      <w:pPr>
        <w:autoSpaceDE w:val="0"/>
        <w:autoSpaceDN w:val="0"/>
        <w:adjustRightInd w:val="0"/>
        <w:spacing w:after="0" w:line="360" w:lineRule="auto"/>
        <w:rPr>
          <w:rFonts w:ascii="Arial" w:hAnsi="Arial" w:cs="Arial"/>
          <w:i/>
          <w:iCs/>
          <w:color w:val="000000" w:themeColor="text1"/>
          <w:lang w:val="en-GB"/>
        </w:rPr>
      </w:pPr>
      <w:r w:rsidRPr="00D674DF">
        <w:rPr>
          <w:rFonts w:ascii="Arial" w:hAnsi="Arial" w:cs="Arial"/>
          <w:i/>
          <w:iCs/>
          <w:color w:val="000000" w:themeColor="text1"/>
          <w:lang w:val="en-GB"/>
        </w:rPr>
        <w:t>upon which the Crown case depended had been demonstrated to be one</w:t>
      </w:r>
    </w:p>
    <w:p w14:paraId="4A923D23" w14:textId="67403BDB" w:rsidR="00177648" w:rsidRPr="00D674DF" w:rsidRDefault="00625DED" w:rsidP="001022FE">
      <w:pPr>
        <w:autoSpaceDE w:val="0"/>
        <w:autoSpaceDN w:val="0"/>
        <w:adjustRightInd w:val="0"/>
        <w:spacing w:after="0" w:line="360" w:lineRule="auto"/>
        <w:rPr>
          <w:rFonts w:ascii="Arial" w:hAnsi="Arial" w:cs="Arial"/>
          <w:i/>
          <w:iCs/>
          <w:color w:val="000000" w:themeColor="text1"/>
          <w:lang w:val="en-GB"/>
        </w:rPr>
      </w:pPr>
      <w:r w:rsidRPr="00D674DF">
        <w:rPr>
          <w:rFonts w:ascii="Arial" w:hAnsi="Arial" w:cs="Arial"/>
          <w:i/>
          <w:iCs/>
          <w:color w:val="000000" w:themeColor="text1"/>
          <w:lang w:val="en-GB"/>
        </w:rPr>
        <w:t>which was very substantially lacking in credit</w:t>
      </w:r>
      <w:r w:rsidR="00277CD0" w:rsidRPr="00D674DF">
        <w:rPr>
          <w:rFonts w:ascii="Arial" w:hAnsi="Arial" w:cs="Arial"/>
          <w:i/>
          <w:iCs/>
          <w:color w:val="000000" w:themeColor="text1"/>
          <w:lang w:val="en-GB"/>
        </w:rPr>
        <w:t>.”</w:t>
      </w:r>
    </w:p>
    <w:p w14:paraId="49B86BAD" w14:textId="77777777" w:rsidR="00177648" w:rsidRPr="00D674DF" w:rsidRDefault="00177648" w:rsidP="001022FE">
      <w:pPr>
        <w:autoSpaceDE w:val="0"/>
        <w:autoSpaceDN w:val="0"/>
        <w:adjustRightInd w:val="0"/>
        <w:spacing w:after="0" w:line="360" w:lineRule="auto"/>
        <w:rPr>
          <w:rFonts w:ascii="Arial" w:hAnsi="Arial" w:cs="Arial"/>
          <w:i/>
          <w:iCs/>
          <w:color w:val="000000" w:themeColor="text1"/>
          <w:lang w:val="en-GB"/>
        </w:rPr>
      </w:pPr>
    </w:p>
    <w:p w14:paraId="172A0596" w14:textId="4120AE35" w:rsidR="00177648" w:rsidRPr="00D674DF" w:rsidRDefault="00177648" w:rsidP="001022FE">
      <w:pPr>
        <w:autoSpaceDE w:val="0"/>
        <w:autoSpaceDN w:val="0"/>
        <w:adjustRightInd w:val="0"/>
        <w:spacing w:after="0" w:line="360" w:lineRule="auto"/>
        <w:rPr>
          <w:rFonts w:ascii="Arial" w:hAnsi="Arial" w:cs="Arial"/>
          <w:color w:val="000000" w:themeColor="text1"/>
          <w:lang w:val="en-GB"/>
        </w:rPr>
      </w:pPr>
      <w:r w:rsidRPr="00D674DF">
        <w:rPr>
          <w:rFonts w:ascii="Arial" w:hAnsi="Arial" w:cs="Arial"/>
          <w:color w:val="000000" w:themeColor="text1"/>
          <w:lang w:val="en-GB"/>
        </w:rPr>
        <w:t>In Mordaunt, the court went on to list seventeen principles distilled from earlier decisions to consider when an s.2 certificate is being sought by an Applicant.</w:t>
      </w:r>
    </w:p>
    <w:p w14:paraId="7D52C5EA" w14:textId="77777777" w:rsidR="00177648" w:rsidRPr="00D674DF" w:rsidRDefault="00177648" w:rsidP="001022FE">
      <w:pPr>
        <w:autoSpaceDE w:val="0"/>
        <w:autoSpaceDN w:val="0"/>
        <w:adjustRightInd w:val="0"/>
        <w:spacing w:after="0" w:line="360" w:lineRule="auto"/>
        <w:rPr>
          <w:rFonts w:ascii="Arial" w:hAnsi="Arial" w:cs="Arial"/>
          <w:color w:val="000000" w:themeColor="text1"/>
          <w:lang w:val="en-GB"/>
        </w:rPr>
      </w:pPr>
    </w:p>
    <w:p w14:paraId="18AD1851" w14:textId="2B50F7D5" w:rsidR="00177648" w:rsidRPr="00D674DF" w:rsidRDefault="00177648" w:rsidP="001022FE">
      <w:pPr>
        <w:pStyle w:val="ListParagraph"/>
        <w:numPr>
          <w:ilvl w:val="0"/>
          <w:numId w:val="22"/>
        </w:numPr>
        <w:autoSpaceDE w:val="0"/>
        <w:autoSpaceDN w:val="0"/>
        <w:adjustRightInd w:val="0"/>
        <w:spacing w:after="0" w:line="360" w:lineRule="auto"/>
        <w:rPr>
          <w:rFonts w:ascii="Times New Roman" w:hAnsi="Times New Roman" w:cs="Times New Roman"/>
          <w:color w:val="000000" w:themeColor="text1"/>
          <w:sz w:val="24"/>
          <w:szCs w:val="24"/>
          <w:lang w:val="en-GB"/>
        </w:rPr>
      </w:pPr>
      <w:r w:rsidRPr="00D674DF">
        <w:rPr>
          <w:rFonts w:ascii="Arial" w:hAnsi="Arial" w:cs="Arial"/>
          <w:color w:val="000000" w:themeColor="text1"/>
          <w:lang w:val="en-GB"/>
        </w:rPr>
        <w:t xml:space="preserve">An example of </w:t>
      </w:r>
      <w:r w:rsidR="004F64B1" w:rsidRPr="00D674DF">
        <w:rPr>
          <w:rFonts w:ascii="Arial" w:hAnsi="Arial" w:cs="Arial"/>
          <w:color w:val="000000" w:themeColor="text1"/>
          <w:lang w:val="en-GB"/>
        </w:rPr>
        <w:t xml:space="preserve">a </w:t>
      </w:r>
      <w:r w:rsidRPr="00D674DF">
        <w:rPr>
          <w:rFonts w:ascii="Arial" w:hAnsi="Arial" w:cs="Arial"/>
          <w:color w:val="000000" w:themeColor="text1"/>
          <w:lang w:val="en-GB"/>
        </w:rPr>
        <w:t xml:space="preserve">recent application </w:t>
      </w:r>
      <w:r w:rsidR="004F64B1" w:rsidRPr="00D674DF">
        <w:rPr>
          <w:rFonts w:ascii="Arial" w:hAnsi="Arial" w:cs="Arial"/>
          <w:color w:val="000000" w:themeColor="text1"/>
          <w:lang w:val="en-GB"/>
        </w:rPr>
        <w:t>in which the ultimate question for the Court centred on the</w:t>
      </w:r>
      <w:r w:rsidR="00B15464" w:rsidRPr="00D674DF">
        <w:rPr>
          <w:rFonts w:ascii="Arial" w:hAnsi="Arial" w:cs="Arial"/>
          <w:color w:val="000000" w:themeColor="text1"/>
          <w:lang w:val="en-GB"/>
        </w:rPr>
        <w:t xml:space="preserve"> issue of witness credibility </w:t>
      </w:r>
      <w:r w:rsidRPr="00D674DF">
        <w:rPr>
          <w:rFonts w:ascii="Arial" w:hAnsi="Arial" w:cs="Arial"/>
          <w:color w:val="000000" w:themeColor="text1"/>
          <w:lang w:val="en-GB"/>
        </w:rPr>
        <w:t xml:space="preserve">is the decision of </w:t>
      </w:r>
      <w:r w:rsidRPr="00D674DF">
        <w:rPr>
          <w:rFonts w:ascii="Arial" w:hAnsi="Arial" w:cs="Arial"/>
          <w:i/>
          <w:iCs/>
          <w:color w:val="000000" w:themeColor="text1"/>
          <w:lang w:val="en-GB"/>
        </w:rPr>
        <w:t>Wass SC DCJ</w:t>
      </w:r>
      <w:r w:rsidRPr="00D674DF">
        <w:rPr>
          <w:rFonts w:ascii="Arial" w:hAnsi="Arial" w:cs="Arial"/>
          <w:color w:val="000000" w:themeColor="text1"/>
          <w:lang w:val="en-GB"/>
        </w:rPr>
        <w:t xml:space="preserve"> in </w:t>
      </w:r>
      <w:r w:rsidRPr="00D674DF">
        <w:rPr>
          <w:rFonts w:ascii="Arial" w:hAnsi="Arial" w:cs="Arial"/>
          <w:i/>
          <w:iCs/>
          <w:color w:val="000000" w:themeColor="text1"/>
        </w:rPr>
        <w:t xml:space="preserve">Stenner-Wall v R [2024] NSWDC 365. </w:t>
      </w:r>
      <w:r w:rsidRPr="00D674DF">
        <w:rPr>
          <w:rFonts w:ascii="Arial" w:hAnsi="Arial" w:cs="Arial"/>
          <w:color w:val="000000" w:themeColor="text1"/>
        </w:rPr>
        <w:t xml:space="preserve">A case that concerned the credibility of the complainant in a </w:t>
      </w:r>
      <w:r w:rsidR="00B15464" w:rsidRPr="00D674DF">
        <w:rPr>
          <w:rFonts w:ascii="Arial" w:hAnsi="Arial" w:cs="Arial"/>
          <w:color w:val="000000" w:themeColor="text1"/>
        </w:rPr>
        <w:t>case of sexual assault. At a point in the trial when the witness refused to answer further questions in cross examination and removed herself f</w:t>
      </w:r>
      <w:r w:rsidR="000E2274" w:rsidRPr="00D674DF">
        <w:rPr>
          <w:rFonts w:ascii="Arial" w:hAnsi="Arial" w:cs="Arial"/>
          <w:color w:val="000000" w:themeColor="text1"/>
        </w:rPr>
        <w:t>ro</w:t>
      </w:r>
      <w:r w:rsidR="00B15464" w:rsidRPr="00D674DF">
        <w:rPr>
          <w:rFonts w:ascii="Arial" w:hAnsi="Arial" w:cs="Arial"/>
          <w:color w:val="000000" w:themeColor="text1"/>
        </w:rPr>
        <w:t>m the remote witness room, the Crown directed that there be no further proceedings in respect of th</w:t>
      </w:r>
      <w:r w:rsidR="000E2274" w:rsidRPr="00D674DF">
        <w:rPr>
          <w:rFonts w:ascii="Arial" w:hAnsi="Arial" w:cs="Arial"/>
          <w:color w:val="000000" w:themeColor="text1"/>
        </w:rPr>
        <w:t>ose</w:t>
      </w:r>
      <w:r w:rsidR="00B15464" w:rsidRPr="00D674DF">
        <w:rPr>
          <w:rFonts w:ascii="Arial" w:hAnsi="Arial" w:cs="Arial"/>
          <w:color w:val="000000" w:themeColor="text1"/>
        </w:rPr>
        <w:t xml:space="preserve"> counts denied by the Applicant. In addressing the resultant application by the acquitted Applicant for </w:t>
      </w:r>
      <w:proofErr w:type="gramStart"/>
      <w:r w:rsidR="00B15464" w:rsidRPr="00D674DF">
        <w:rPr>
          <w:rFonts w:ascii="Arial" w:hAnsi="Arial" w:cs="Arial"/>
          <w:color w:val="000000" w:themeColor="text1"/>
        </w:rPr>
        <w:t>a costs</w:t>
      </w:r>
      <w:proofErr w:type="gramEnd"/>
      <w:r w:rsidR="00B15464" w:rsidRPr="00D674DF">
        <w:rPr>
          <w:rFonts w:ascii="Arial" w:hAnsi="Arial" w:cs="Arial"/>
          <w:color w:val="000000" w:themeColor="text1"/>
        </w:rPr>
        <w:t xml:space="preserve"> certificate the Court identified the question as </w:t>
      </w:r>
      <w:r w:rsidR="00B15464" w:rsidRPr="00D674DF">
        <w:rPr>
          <w:rFonts w:ascii="Times New Roman" w:hAnsi="Times New Roman" w:cs="Times New Roman"/>
          <w:color w:val="000000" w:themeColor="text1"/>
          <w:sz w:val="24"/>
          <w:szCs w:val="24"/>
          <w:lang w:val="en-GB"/>
        </w:rPr>
        <w:t>whether on all of the relevant facts, KW was</w:t>
      </w:r>
      <w:r w:rsidR="00040472" w:rsidRPr="00D674DF">
        <w:rPr>
          <w:rFonts w:ascii="Times New Roman" w:hAnsi="Times New Roman" w:cs="Times New Roman"/>
          <w:color w:val="000000" w:themeColor="text1"/>
          <w:sz w:val="24"/>
          <w:szCs w:val="24"/>
          <w:lang w:val="en-GB"/>
        </w:rPr>
        <w:t xml:space="preserve"> </w:t>
      </w:r>
      <w:r w:rsidR="00B15464" w:rsidRPr="00D674DF">
        <w:rPr>
          <w:rFonts w:ascii="Times New Roman" w:hAnsi="Times New Roman" w:cs="Times New Roman"/>
          <w:color w:val="000000" w:themeColor="text1"/>
          <w:sz w:val="24"/>
          <w:szCs w:val="24"/>
          <w:lang w:val="en-GB"/>
        </w:rPr>
        <w:t>so substantially lacking in credit that it was unreasonable for the Director to rely on her as a witness to prove the case against the applicant.</w:t>
      </w:r>
      <w:r w:rsidR="00040472" w:rsidRPr="00D674DF">
        <w:rPr>
          <w:rFonts w:ascii="Times New Roman" w:hAnsi="Times New Roman" w:cs="Times New Roman"/>
          <w:color w:val="000000" w:themeColor="text1"/>
          <w:sz w:val="24"/>
          <w:szCs w:val="24"/>
          <w:lang w:val="en-GB"/>
        </w:rPr>
        <w:t xml:space="preserve"> At Paragraph [30] Her Honour stated:</w:t>
      </w:r>
    </w:p>
    <w:p w14:paraId="327E73A5" w14:textId="77777777" w:rsidR="00B15464" w:rsidRPr="00D674DF" w:rsidRDefault="00B15464" w:rsidP="001022FE">
      <w:pPr>
        <w:autoSpaceDE w:val="0"/>
        <w:autoSpaceDN w:val="0"/>
        <w:adjustRightInd w:val="0"/>
        <w:spacing w:after="0" w:line="360" w:lineRule="auto"/>
        <w:rPr>
          <w:rFonts w:ascii="Times New Roman" w:hAnsi="Times New Roman" w:cs="Times New Roman"/>
          <w:color w:val="000000" w:themeColor="text1"/>
          <w:sz w:val="24"/>
          <w:szCs w:val="24"/>
          <w:lang w:val="en-GB"/>
        </w:rPr>
      </w:pPr>
    </w:p>
    <w:p w14:paraId="569E47B5" w14:textId="3F94F668" w:rsidR="00B15464" w:rsidRPr="00D674DF" w:rsidRDefault="00040472" w:rsidP="001022FE">
      <w:pPr>
        <w:autoSpaceDE w:val="0"/>
        <w:autoSpaceDN w:val="0"/>
        <w:adjustRightInd w:val="0"/>
        <w:spacing w:after="0" w:line="360" w:lineRule="auto"/>
        <w:rPr>
          <w:rFonts w:ascii="Times New Roman" w:hAnsi="Times New Roman" w:cs="Times New Roman"/>
          <w:i/>
          <w:iCs/>
          <w:color w:val="000000" w:themeColor="text1"/>
          <w:sz w:val="24"/>
          <w:szCs w:val="24"/>
          <w:lang w:val="en-GB"/>
        </w:rPr>
      </w:pPr>
      <w:r w:rsidRPr="00D674DF">
        <w:rPr>
          <w:rFonts w:ascii="Times New Roman" w:hAnsi="Times New Roman" w:cs="Times New Roman"/>
          <w:i/>
          <w:iCs/>
          <w:color w:val="000000" w:themeColor="text1"/>
          <w:sz w:val="24"/>
          <w:szCs w:val="24"/>
          <w:lang w:val="en-GB"/>
        </w:rPr>
        <w:t>“</w:t>
      </w:r>
      <w:r w:rsidR="00B15464" w:rsidRPr="00D674DF">
        <w:rPr>
          <w:rFonts w:ascii="Times New Roman" w:hAnsi="Times New Roman" w:cs="Times New Roman"/>
          <w:i/>
          <w:iCs/>
          <w:color w:val="000000" w:themeColor="text1"/>
          <w:sz w:val="24"/>
          <w:szCs w:val="24"/>
          <w:lang w:val="en-GB"/>
        </w:rPr>
        <w:t>It is not a</w:t>
      </w:r>
      <w:r w:rsidRPr="00D674DF">
        <w:rPr>
          <w:rFonts w:ascii="Times New Roman" w:hAnsi="Times New Roman" w:cs="Times New Roman"/>
          <w:i/>
          <w:iCs/>
          <w:color w:val="000000" w:themeColor="text1"/>
          <w:sz w:val="24"/>
          <w:szCs w:val="24"/>
          <w:lang w:val="en-GB"/>
        </w:rPr>
        <w:t xml:space="preserve"> </w:t>
      </w:r>
      <w:r w:rsidR="00B15464" w:rsidRPr="00D674DF">
        <w:rPr>
          <w:rFonts w:ascii="Times New Roman" w:hAnsi="Times New Roman" w:cs="Times New Roman"/>
          <w:i/>
          <w:iCs/>
          <w:color w:val="000000" w:themeColor="text1"/>
          <w:sz w:val="24"/>
          <w:szCs w:val="24"/>
          <w:lang w:val="en-GB"/>
        </w:rPr>
        <w:t xml:space="preserve">provision </w:t>
      </w:r>
      <w:r w:rsidRPr="00D674DF">
        <w:rPr>
          <w:rFonts w:ascii="Times New Roman" w:hAnsi="Times New Roman" w:cs="Times New Roman"/>
          <w:i/>
          <w:iCs/>
          <w:color w:val="000000" w:themeColor="text1"/>
          <w:sz w:val="24"/>
          <w:szCs w:val="24"/>
          <w:lang w:val="en-GB"/>
        </w:rPr>
        <w:t xml:space="preserve">s.3(1)(a) </w:t>
      </w:r>
      <w:r w:rsidR="00B15464" w:rsidRPr="00D674DF">
        <w:rPr>
          <w:rFonts w:ascii="Times New Roman" w:hAnsi="Times New Roman" w:cs="Times New Roman"/>
          <w:i/>
          <w:iCs/>
          <w:color w:val="000000" w:themeColor="text1"/>
          <w:sz w:val="24"/>
          <w:szCs w:val="24"/>
          <w:lang w:val="en-GB"/>
        </w:rPr>
        <w:t>that seeks to impugn a prosecutor's decisions, made on judgment, as</w:t>
      </w:r>
      <w:r w:rsidRPr="00D674DF">
        <w:rPr>
          <w:rFonts w:ascii="Times New Roman" w:hAnsi="Times New Roman" w:cs="Times New Roman"/>
          <w:i/>
          <w:iCs/>
          <w:color w:val="000000" w:themeColor="text1"/>
          <w:sz w:val="24"/>
          <w:szCs w:val="24"/>
          <w:lang w:val="en-GB"/>
        </w:rPr>
        <w:t xml:space="preserve"> </w:t>
      </w:r>
      <w:r w:rsidR="00B15464" w:rsidRPr="00D674DF">
        <w:rPr>
          <w:rFonts w:ascii="Times New Roman" w:hAnsi="Times New Roman" w:cs="Times New Roman"/>
          <w:i/>
          <w:iCs/>
          <w:color w:val="000000" w:themeColor="text1"/>
          <w:sz w:val="24"/>
          <w:szCs w:val="24"/>
          <w:lang w:val="en-GB"/>
        </w:rPr>
        <w:t>to the "real possibilities" as to the outcomes. The test deliberately eschews</w:t>
      </w:r>
    </w:p>
    <w:p w14:paraId="1131D4C8" w14:textId="77777777" w:rsidR="00B15464" w:rsidRPr="00D674DF" w:rsidRDefault="00B15464" w:rsidP="001022FE">
      <w:pPr>
        <w:autoSpaceDE w:val="0"/>
        <w:autoSpaceDN w:val="0"/>
        <w:adjustRightInd w:val="0"/>
        <w:spacing w:after="0" w:line="360" w:lineRule="auto"/>
        <w:rPr>
          <w:rFonts w:ascii="Times New Roman" w:hAnsi="Times New Roman" w:cs="Times New Roman"/>
          <w:i/>
          <w:iCs/>
          <w:color w:val="000000" w:themeColor="text1"/>
          <w:sz w:val="24"/>
          <w:szCs w:val="24"/>
          <w:lang w:val="en-GB"/>
        </w:rPr>
      </w:pPr>
      <w:r w:rsidRPr="00D674DF">
        <w:rPr>
          <w:rFonts w:ascii="Times New Roman" w:hAnsi="Times New Roman" w:cs="Times New Roman"/>
          <w:i/>
          <w:iCs/>
          <w:color w:val="000000" w:themeColor="text1"/>
          <w:sz w:val="24"/>
          <w:szCs w:val="24"/>
          <w:lang w:val="en-GB"/>
        </w:rPr>
        <w:t>such a course, but rather assumes, that the evidence is not given and whether</w:t>
      </w:r>
    </w:p>
    <w:p w14:paraId="3FBCB0F5" w14:textId="77777777" w:rsidR="00B15464" w:rsidRPr="00D674DF" w:rsidRDefault="00B15464" w:rsidP="001022FE">
      <w:pPr>
        <w:autoSpaceDE w:val="0"/>
        <w:autoSpaceDN w:val="0"/>
        <w:adjustRightInd w:val="0"/>
        <w:spacing w:after="0" w:line="360" w:lineRule="auto"/>
        <w:rPr>
          <w:rFonts w:ascii="Times New Roman" w:hAnsi="Times New Roman" w:cs="Times New Roman"/>
          <w:i/>
          <w:iCs/>
          <w:color w:val="000000" w:themeColor="text1"/>
          <w:sz w:val="24"/>
          <w:szCs w:val="24"/>
          <w:lang w:val="en-GB"/>
        </w:rPr>
      </w:pPr>
      <w:r w:rsidRPr="00D674DF">
        <w:rPr>
          <w:rFonts w:ascii="Times New Roman" w:hAnsi="Times New Roman" w:cs="Times New Roman"/>
          <w:i/>
          <w:iCs/>
          <w:color w:val="000000" w:themeColor="text1"/>
          <w:sz w:val="24"/>
          <w:szCs w:val="24"/>
          <w:lang w:val="en-GB"/>
        </w:rPr>
        <w:t>in that circumstance a prosecution could otherwise be supported and whether,</w:t>
      </w:r>
    </w:p>
    <w:p w14:paraId="44DD789A" w14:textId="77777777" w:rsidR="00B15464" w:rsidRPr="00D674DF" w:rsidRDefault="00B15464" w:rsidP="001022FE">
      <w:pPr>
        <w:autoSpaceDE w:val="0"/>
        <w:autoSpaceDN w:val="0"/>
        <w:adjustRightInd w:val="0"/>
        <w:spacing w:after="0" w:line="360" w:lineRule="auto"/>
        <w:rPr>
          <w:rFonts w:ascii="Times New Roman" w:hAnsi="Times New Roman" w:cs="Times New Roman"/>
          <w:i/>
          <w:iCs/>
          <w:color w:val="000000" w:themeColor="text1"/>
          <w:sz w:val="24"/>
          <w:szCs w:val="24"/>
          <w:lang w:val="en-GB"/>
        </w:rPr>
      </w:pPr>
      <w:r w:rsidRPr="00D674DF">
        <w:rPr>
          <w:rFonts w:ascii="Times New Roman" w:hAnsi="Times New Roman" w:cs="Times New Roman"/>
          <w:i/>
          <w:iCs/>
          <w:color w:val="000000" w:themeColor="text1"/>
          <w:sz w:val="24"/>
          <w:szCs w:val="24"/>
          <w:lang w:val="en-GB"/>
        </w:rPr>
        <w:t>if that was known, it would have been unreasonable to institute or continue the</w:t>
      </w:r>
    </w:p>
    <w:p w14:paraId="7F687E5D" w14:textId="1EDFDA04" w:rsidR="00B15464" w:rsidRPr="00D674DF" w:rsidRDefault="00B15464" w:rsidP="001022FE">
      <w:pPr>
        <w:autoSpaceDE w:val="0"/>
        <w:autoSpaceDN w:val="0"/>
        <w:adjustRightInd w:val="0"/>
        <w:spacing w:after="0" w:line="360" w:lineRule="auto"/>
        <w:rPr>
          <w:rFonts w:ascii="Times New Roman" w:hAnsi="Times New Roman" w:cs="Times New Roman"/>
          <w:i/>
          <w:iCs/>
          <w:color w:val="000000" w:themeColor="text1"/>
          <w:sz w:val="24"/>
          <w:szCs w:val="24"/>
          <w:lang w:val="en-GB"/>
        </w:rPr>
      </w:pPr>
      <w:r w:rsidRPr="00D674DF">
        <w:rPr>
          <w:rFonts w:ascii="Times New Roman" w:hAnsi="Times New Roman" w:cs="Times New Roman"/>
          <w:i/>
          <w:iCs/>
          <w:color w:val="000000" w:themeColor="text1"/>
          <w:sz w:val="24"/>
          <w:szCs w:val="24"/>
          <w:lang w:val="en-GB"/>
        </w:rPr>
        <w:t>proceedings.</w:t>
      </w:r>
      <w:r w:rsidR="00040472" w:rsidRPr="00D674DF">
        <w:rPr>
          <w:rFonts w:ascii="Times New Roman" w:hAnsi="Times New Roman" w:cs="Times New Roman"/>
          <w:i/>
          <w:iCs/>
          <w:color w:val="000000" w:themeColor="text1"/>
          <w:sz w:val="24"/>
          <w:szCs w:val="24"/>
          <w:lang w:val="en-GB"/>
        </w:rPr>
        <w:t>”</w:t>
      </w:r>
    </w:p>
    <w:p w14:paraId="2E0B7DFB" w14:textId="77777777" w:rsidR="000E2274" w:rsidRPr="00D674DF" w:rsidRDefault="000E2274" w:rsidP="001022FE">
      <w:pPr>
        <w:autoSpaceDE w:val="0"/>
        <w:autoSpaceDN w:val="0"/>
        <w:adjustRightInd w:val="0"/>
        <w:spacing w:after="0" w:line="360" w:lineRule="auto"/>
        <w:rPr>
          <w:rFonts w:ascii="Times New Roman" w:hAnsi="Times New Roman" w:cs="Times New Roman"/>
          <w:i/>
          <w:iCs/>
          <w:color w:val="000000" w:themeColor="text1"/>
          <w:sz w:val="24"/>
          <w:szCs w:val="24"/>
          <w:lang w:val="en-GB"/>
        </w:rPr>
      </w:pPr>
    </w:p>
    <w:p w14:paraId="5AA6AE0A" w14:textId="2314E3AE" w:rsidR="000E2274" w:rsidRPr="00D674DF" w:rsidRDefault="000E2274" w:rsidP="001022FE">
      <w:pPr>
        <w:autoSpaceDE w:val="0"/>
        <w:autoSpaceDN w:val="0"/>
        <w:adjustRightInd w:val="0"/>
        <w:spacing w:after="0" w:line="360" w:lineRule="auto"/>
        <w:rPr>
          <w:rFonts w:ascii="Times New Roman" w:hAnsi="Times New Roman" w:cs="Times New Roman"/>
          <w:color w:val="000000" w:themeColor="text1"/>
          <w:sz w:val="24"/>
          <w:szCs w:val="24"/>
          <w:lang w:val="en-GB"/>
        </w:rPr>
      </w:pPr>
      <w:r w:rsidRPr="00D674DF">
        <w:rPr>
          <w:rFonts w:ascii="Times New Roman" w:hAnsi="Times New Roman" w:cs="Times New Roman"/>
          <w:color w:val="000000" w:themeColor="text1"/>
          <w:sz w:val="24"/>
          <w:szCs w:val="24"/>
          <w:lang w:val="en-GB"/>
        </w:rPr>
        <w:t xml:space="preserve">The view expressed by Her Honour [15] was that the refusal to engage with any question as a matter of choice is the least credible of </w:t>
      </w:r>
      <w:r w:rsidR="00EC124D" w:rsidRPr="00D674DF">
        <w:rPr>
          <w:rFonts w:ascii="Times New Roman" w:hAnsi="Times New Roman" w:cs="Times New Roman"/>
          <w:color w:val="000000" w:themeColor="text1"/>
          <w:sz w:val="24"/>
          <w:szCs w:val="24"/>
          <w:lang w:val="en-GB"/>
        </w:rPr>
        <w:t>any</w:t>
      </w:r>
      <w:r w:rsidRPr="00D674DF">
        <w:rPr>
          <w:rFonts w:ascii="Times New Roman" w:hAnsi="Times New Roman" w:cs="Times New Roman"/>
          <w:color w:val="000000" w:themeColor="text1"/>
          <w:sz w:val="24"/>
          <w:szCs w:val="24"/>
          <w:lang w:val="en-GB"/>
        </w:rPr>
        <w:t xml:space="preserve"> witness.</w:t>
      </w:r>
      <w:r w:rsidR="00EC124D" w:rsidRPr="00D674DF">
        <w:rPr>
          <w:rFonts w:ascii="Times New Roman" w:hAnsi="Times New Roman" w:cs="Times New Roman"/>
          <w:color w:val="000000" w:themeColor="text1"/>
          <w:sz w:val="24"/>
          <w:szCs w:val="24"/>
          <w:lang w:val="en-GB"/>
        </w:rPr>
        <w:t xml:space="preserve"> The costs certificate was duly granted.</w:t>
      </w:r>
    </w:p>
    <w:p w14:paraId="7BCE0CA8" w14:textId="27E756DA" w:rsidR="00114F6A" w:rsidRPr="00D674DF" w:rsidRDefault="00114F6A" w:rsidP="00A03A03">
      <w:pPr>
        <w:pStyle w:val="Heading2"/>
        <w:snapToGrid w:val="0"/>
        <w:spacing w:before="240" w:after="240" w:line="360" w:lineRule="auto"/>
        <w:rPr>
          <w:color w:val="000000" w:themeColor="text1"/>
        </w:rPr>
      </w:pPr>
      <w:r w:rsidRPr="00D674DF">
        <w:rPr>
          <w:rFonts w:eastAsia="Arial"/>
          <w:color w:val="000000" w:themeColor="text1"/>
        </w:rPr>
        <w:t>Legal Profession Uniform Conduct (Barristers) Rules 2015 (NSW)</w:t>
      </w:r>
    </w:p>
    <w:p w14:paraId="50EF99DF" w14:textId="6FC275A8" w:rsidR="00252411" w:rsidRPr="00D674DF" w:rsidRDefault="00114F6A" w:rsidP="00F977C9">
      <w:pPr>
        <w:pStyle w:val="ListParagraph"/>
        <w:numPr>
          <w:ilvl w:val="0"/>
          <w:numId w:val="22"/>
        </w:numPr>
        <w:snapToGrid w:val="0"/>
        <w:spacing w:before="240" w:after="240" w:line="360" w:lineRule="auto"/>
        <w:ind w:right="111"/>
        <w:jc w:val="both"/>
        <w:rPr>
          <w:color w:val="000000" w:themeColor="text1"/>
        </w:rPr>
      </w:pPr>
      <w:r w:rsidRPr="00D674DF">
        <w:rPr>
          <w:rFonts w:ascii="Arial" w:eastAsia="Arial" w:hAnsi="Arial" w:cs="Arial"/>
          <w:color w:val="000000" w:themeColor="text1"/>
        </w:rPr>
        <w:t>A</w:t>
      </w:r>
      <w:r w:rsidR="00252411" w:rsidRPr="00D674DF">
        <w:rPr>
          <w:rFonts w:ascii="Arial" w:eastAsia="Arial" w:hAnsi="Arial" w:cs="Arial"/>
          <w:color w:val="000000" w:themeColor="text1"/>
        </w:rPr>
        <w:t xml:space="preserve"> consideration of the relevant duties, extracted from the </w:t>
      </w:r>
      <w:r w:rsidR="00252411" w:rsidRPr="00D674DF">
        <w:rPr>
          <w:rFonts w:ascii="Arial" w:eastAsia="Arial" w:hAnsi="Arial" w:cs="Arial"/>
          <w:i/>
          <w:color w:val="000000" w:themeColor="text1"/>
        </w:rPr>
        <w:t xml:space="preserve">Legal Profession Uniform Conduct (Barristers) Rules </w:t>
      </w:r>
      <w:r w:rsidR="00252411" w:rsidRPr="00D674DF">
        <w:rPr>
          <w:rFonts w:ascii="Arial" w:eastAsia="Arial" w:hAnsi="Arial" w:cs="Arial"/>
          <w:color w:val="000000" w:themeColor="text1"/>
        </w:rPr>
        <w:t xml:space="preserve">2015 (NSW) may be of assistance: </w:t>
      </w:r>
    </w:p>
    <w:p w14:paraId="12EEF354" w14:textId="77777777" w:rsidR="00252411" w:rsidRPr="00D674DF" w:rsidRDefault="00252411" w:rsidP="00A03A03">
      <w:pPr>
        <w:pStyle w:val="Heading3"/>
        <w:snapToGrid w:val="0"/>
        <w:spacing w:before="240" w:after="240" w:line="360" w:lineRule="auto"/>
        <w:ind w:left="1145"/>
        <w:rPr>
          <w:color w:val="000000" w:themeColor="text1"/>
        </w:rPr>
      </w:pPr>
      <w:r w:rsidRPr="00D674DF">
        <w:rPr>
          <w:color w:val="000000" w:themeColor="text1"/>
        </w:rPr>
        <w:t xml:space="preserve">Prosecutor’s duties </w:t>
      </w:r>
    </w:p>
    <w:p w14:paraId="73F9A5E5" w14:textId="77777777" w:rsidR="00252411" w:rsidRPr="00D674DF" w:rsidRDefault="00252411" w:rsidP="00A03A03">
      <w:pPr>
        <w:snapToGrid w:val="0"/>
        <w:spacing w:before="240" w:after="240" w:line="360" w:lineRule="auto"/>
        <w:ind w:left="1728" w:right="689" w:hanging="10"/>
        <w:jc w:val="both"/>
        <w:rPr>
          <w:color w:val="000000" w:themeColor="text1"/>
        </w:rPr>
      </w:pPr>
      <w:r w:rsidRPr="00D674DF">
        <w:rPr>
          <w:rFonts w:ascii="Arial" w:eastAsia="Arial" w:hAnsi="Arial" w:cs="Arial"/>
          <w:i/>
          <w:color w:val="000000" w:themeColor="text1"/>
        </w:rPr>
        <w:t xml:space="preserve">… </w:t>
      </w:r>
    </w:p>
    <w:p w14:paraId="4B5E2DDD" w14:textId="77777777" w:rsidR="00252411" w:rsidRPr="00D674DF" w:rsidRDefault="00252411" w:rsidP="00A03A03">
      <w:pPr>
        <w:numPr>
          <w:ilvl w:val="0"/>
          <w:numId w:val="9"/>
        </w:numPr>
        <w:snapToGrid w:val="0"/>
        <w:spacing w:before="240" w:after="240" w:line="360" w:lineRule="auto"/>
        <w:ind w:left="2284" w:right="689" w:hanging="566"/>
        <w:jc w:val="both"/>
        <w:rPr>
          <w:color w:val="000000" w:themeColor="text1"/>
        </w:rPr>
      </w:pPr>
      <w:r w:rsidRPr="00D674DF">
        <w:rPr>
          <w:rFonts w:ascii="Arial" w:eastAsia="Arial" w:hAnsi="Arial" w:cs="Arial"/>
          <w:i/>
          <w:color w:val="000000" w:themeColor="text1"/>
        </w:rPr>
        <w:t xml:space="preserve">A prosecutor must call as part of the prosecution’s case all witnesses: </w:t>
      </w:r>
    </w:p>
    <w:p w14:paraId="771251DF" w14:textId="77777777" w:rsidR="00252411" w:rsidRPr="00D674DF" w:rsidRDefault="00252411" w:rsidP="00A03A03">
      <w:pPr>
        <w:numPr>
          <w:ilvl w:val="1"/>
          <w:numId w:val="9"/>
        </w:numPr>
        <w:snapToGrid w:val="0"/>
        <w:spacing w:before="240" w:after="240" w:line="360" w:lineRule="auto"/>
        <w:ind w:right="689" w:hanging="567"/>
        <w:jc w:val="both"/>
        <w:rPr>
          <w:color w:val="000000" w:themeColor="text1"/>
        </w:rPr>
      </w:pPr>
      <w:r w:rsidRPr="00D674DF">
        <w:rPr>
          <w:rFonts w:ascii="Arial" w:eastAsia="Arial" w:hAnsi="Arial" w:cs="Arial"/>
          <w:i/>
          <w:color w:val="000000" w:themeColor="text1"/>
        </w:rPr>
        <w:t xml:space="preserve">whose testimony is admissible and necessary for the presentation of </w:t>
      </w:r>
      <w:proofErr w:type="gramStart"/>
      <w:r w:rsidRPr="00D674DF">
        <w:rPr>
          <w:rFonts w:ascii="Arial" w:eastAsia="Arial" w:hAnsi="Arial" w:cs="Arial"/>
          <w:i/>
          <w:color w:val="000000" w:themeColor="text1"/>
        </w:rPr>
        <w:t>all of</w:t>
      </w:r>
      <w:proofErr w:type="gramEnd"/>
      <w:r w:rsidRPr="00D674DF">
        <w:rPr>
          <w:rFonts w:ascii="Arial" w:eastAsia="Arial" w:hAnsi="Arial" w:cs="Arial"/>
          <w:i/>
          <w:color w:val="000000" w:themeColor="text1"/>
        </w:rPr>
        <w:t xml:space="preserve"> the relevant circumstances, or </w:t>
      </w:r>
    </w:p>
    <w:p w14:paraId="14DBC902" w14:textId="77777777" w:rsidR="00252411" w:rsidRPr="00D674DF" w:rsidRDefault="00252411" w:rsidP="00A03A03">
      <w:pPr>
        <w:numPr>
          <w:ilvl w:val="1"/>
          <w:numId w:val="9"/>
        </w:numPr>
        <w:snapToGrid w:val="0"/>
        <w:spacing w:before="240" w:after="240" w:line="360" w:lineRule="auto"/>
        <w:ind w:right="689" w:hanging="567"/>
        <w:jc w:val="both"/>
        <w:rPr>
          <w:color w:val="000000" w:themeColor="text1"/>
        </w:rPr>
      </w:pPr>
      <w:r w:rsidRPr="00D674DF">
        <w:rPr>
          <w:rFonts w:ascii="Arial" w:eastAsia="Arial" w:hAnsi="Arial" w:cs="Arial"/>
          <w:i/>
          <w:color w:val="000000" w:themeColor="text1"/>
        </w:rPr>
        <w:lastRenderedPageBreak/>
        <w:t xml:space="preserve">whose testimony provides reasonable grounds for the prosecutor to believe that it could provide admissible evidence relevant to any matter in issue, unless: </w:t>
      </w:r>
    </w:p>
    <w:p w14:paraId="4EBB01E8" w14:textId="77777777" w:rsidR="00252411" w:rsidRPr="00D674DF" w:rsidRDefault="00252411" w:rsidP="00A03A03">
      <w:pPr>
        <w:snapToGrid w:val="0"/>
        <w:spacing w:before="240" w:after="240" w:line="360" w:lineRule="auto"/>
        <w:ind w:left="2862" w:right="689" w:hanging="10"/>
        <w:jc w:val="both"/>
        <w:rPr>
          <w:color w:val="000000" w:themeColor="text1"/>
        </w:rPr>
      </w:pPr>
      <w:r w:rsidRPr="00D674DF">
        <w:rPr>
          <w:rFonts w:ascii="Arial" w:eastAsia="Arial" w:hAnsi="Arial" w:cs="Arial"/>
          <w:i/>
          <w:color w:val="000000" w:themeColor="text1"/>
        </w:rPr>
        <w:t xml:space="preserve">… </w:t>
      </w:r>
    </w:p>
    <w:p w14:paraId="7744F340" w14:textId="77777777" w:rsidR="00252411" w:rsidRPr="00D674DF" w:rsidRDefault="00252411" w:rsidP="00A03A03">
      <w:pPr>
        <w:snapToGrid w:val="0"/>
        <w:spacing w:before="240" w:after="240" w:line="360" w:lineRule="auto"/>
        <w:ind w:left="3421" w:right="689" w:hanging="569"/>
        <w:jc w:val="both"/>
        <w:rPr>
          <w:color w:val="000000" w:themeColor="text1"/>
        </w:rPr>
      </w:pPr>
      <w:r w:rsidRPr="00D674DF">
        <w:rPr>
          <w:rFonts w:ascii="Arial" w:eastAsia="Arial" w:hAnsi="Arial" w:cs="Arial"/>
          <w:i/>
          <w:color w:val="000000" w:themeColor="text1"/>
        </w:rPr>
        <w:t xml:space="preserve">(iv)   the prosecutor believes on reasonable grounds that the testimony of a particular witness is plainly untruthful or is plainly unreliable, or </w:t>
      </w:r>
    </w:p>
    <w:p w14:paraId="2B34D384" w14:textId="77777777" w:rsidR="00252411" w:rsidRPr="00D674DF" w:rsidRDefault="00252411" w:rsidP="00A03A03">
      <w:pPr>
        <w:snapToGrid w:val="0"/>
        <w:spacing w:before="240" w:after="240" w:line="360" w:lineRule="auto"/>
        <w:ind w:left="2862" w:right="689" w:hanging="10"/>
        <w:jc w:val="both"/>
        <w:rPr>
          <w:color w:val="000000" w:themeColor="text1"/>
        </w:rPr>
      </w:pPr>
      <w:r w:rsidRPr="00D674DF">
        <w:rPr>
          <w:rFonts w:ascii="Arial" w:eastAsia="Arial" w:hAnsi="Arial" w:cs="Arial"/>
          <w:i/>
          <w:color w:val="000000" w:themeColor="text1"/>
        </w:rPr>
        <w:t xml:space="preserve">… </w:t>
      </w:r>
    </w:p>
    <w:p w14:paraId="24A32CC5" w14:textId="77777777" w:rsidR="00252411" w:rsidRPr="00D674DF" w:rsidRDefault="00252411" w:rsidP="00A03A03">
      <w:pPr>
        <w:numPr>
          <w:ilvl w:val="0"/>
          <w:numId w:val="9"/>
        </w:numPr>
        <w:snapToGrid w:val="0"/>
        <w:spacing w:before="240" w:after="240" w:line="360" w:lineRule="auto"/>
        <w:ind w:left="2284" w:right="689" w:hanging="566"/>
        <w:jc w:val="both"/>
        <w:rPr>
          <w:color w:val="000000" w:themeColor="text1"/>
        </w:rPr>
      </w:pPr>
      <w:r w:rsidRPr="00D674DF">
        <w:rPr>
          <w:rFonts w:ascii="Arial" w:eastAsia="Arial" w:hAnsi="Arial" w:cs="Arial"/>
          <w:i/>
          <w:color w:val="000000" w:themeColor="text1"/>
        </w:rPr>
        <w:t xml:space="preserve">The prosecutor must inform the opponent as soon as practicable of the identity of any witness whom the prosecutor intends not to call on any ground within rule 89 (ii), (iii), (iv) or (v), together with the grounds on which the prosecutor has reached that decision, unless the interests of justice would be harmed if those grounds were revealed to the opponent. </w:t>
      </w:r>
    </w:p>
    <w:p w14:paraId="22F955CA" w14:textId="7EDC0371" w:rsidR="00252411" w:rsidRPr="00D674DF" w:rsidRDefault="00252411" w:rsidP="00F977C9">
      <w:pPr>
        <w:pStyle w:val="ListParagraph"/>
        <w:numPr>
          <w:ilvl w:val="0"/>
          <w:numId w:val="22"/>
        </w:numPr>
        <w:snapToGrid w:val="0"/>
        <w:spacing w:before="240" w:after="240" w:line="360" w:lineRule="auto"/>
        <w:ind w:right="114"/>
        <w:jc w:val="both"/>
        <w:rPr>
          <w:rFonts w:ascii="Arial" w:eastAsia="Arial" w:hAnsi="Arial" w:cs="Arial"/>
          <w:color w:val="000000" w:themeColor="text1"/>
        </w:rPr>
      </w:pPr>
      <w:r w:rsidRPr="00D674DF">
        <w:rPr>
          <w:rFonts w:ascii="Arial" w:eastAsia="Arial" w:hAnsi="Arial" w:cs="Arial"/>
          <w:color w:val="000000" w:themeColor="text1"/>
        </w:rPr>
        <w:t xml:space="preserve">Although dealing with a witness not called by the prosecution, the relationship between the asserted or apparent unreliability or otherwise and the prosecutor’s assessment of same was discussed in </w:t>
      </w:r>
      <w:r w:rsidRPr="00D674DF">
        <w:rPr>
          <w:rFonts w:ascii="Arial" w:eastAsia="Arial" w:hAnsi="Arial" w:cs="Arial"/>
          <w:i/>
          <w:color w:val="000000" w:themeColor="text1"/>
        </w:rPr>
        <w:t xml:space="preserve">R v Kneebone </w:t>
      </w:r>
      <w:r w:rsidRPr="00D674DF">
        <w:rPr>
          <w:rFonts w:ascii="Arial" w:eastAsia="Arial" w:hAnsi="Arial" w:cs="Arial"/>
          <w:color w:val="000000" w:themeColor="text1"/>
        </w:rPr>
        <w:t xml:space="preserve">[1999] NSWCCA 279 by James J, at [49]-[50]: </w:t>
      </w:r>
    </w:p>
    <w:p w14:paraId="525CE027" w14:textId="77777777" w:rsidR="00252411" w:rsidRPr="00D674DF" w:rsidRDefault="00252411" w:rsidP="00A03A03">
      <w:pPr>
        <w:snapToGrid w:val="0"/>
        <w:spacing w:before="240" w:after="240" w:line="360" w:lineRule="auto"/>
        <w:ind w:left="1145" w:right="689" w:hanging="10"/>
        <w:jc w:val="both"/>
        <w:rPr>
          <w:color w:val="000000" w:themeColor="text1"/>
        </w:rPr>
      </w:pPr>
      <w:r w:rsidRPr="00D674DF">
        <w:rPr>
          <w:rFonts w:ascii="Arial" w:eastAsia="Arial" w:hAnsi="Arial" w:cs="Arial"/>
          <w:i/>
          <w:color w:val="000000" w:themeColor="text1"/>
        </w:rPr>
        <w:t xml:space="preserve">Since both experience and logic confirm that merely because a witness' evidence is inconsistent with or contradicts other evidence, it need not be untrue, it is necessary that a prosecutor whose decision is under examination be able to point to identifiable factors which can justify a decision not to call a material witness on the ground of unreliability: see </w:t>
      </w:r>
      <w:proofErr w:type="spellStart"/>
      <w:r w:rsidRPr="00D674DF">
        <w:rPr>
          <w:rFonts w:ascii="Arial" w:eastAsia="Arial" w:hAnsi="Arial" w:cs="Arial"/>
          <w:color w:val="000000" w:themeColor="text1"/>
        </w:rPr>
        <w:t>Apostilides</w:t>
      </w:r>
      <w:proofErr w:type="spellEnd"/>
      <w:r w:rsidRPr="00D674DF">
        <w:rPr>
          <w:rFonts w:ascii="Arial" w:eastAsia="Arial" w:hAnsi="Arial" w:cs="Arial"/>
          <w:i/>
          <w:color w:val="000000" w:themeColor="text1"/>
        </w:rPr>
        <w:t xml:space="preserve"> (supra, at 576); DPP Guidelines (supra), at least if the suggestion of attempting to obtain an improper tactical advantage is to be avoided. It is therefore necessary for the prosecutor to take appropriate steps, including, where necessary interviewing witnesses to be able to form the opinion. In reaching a view as to reliability, </w:t>
      </w:r>
      <w:proofErr w:type="gramStart"/>
      <w:r w:rsidRPr="00D674DF">
        <w:rPr>
          <w:rFonts w:ascii="Arial" w:eastAsia="Arial" w:hAnsi="Arial" w:cs="Arial"/>
          <w:i/>
          <w:color w:val="000000" w:themeColor="text1"/>
        </w:rPr>
        <w:t>it is clear that it</w:t>
      </w:r>
      <w:proofErr w:type="gramEnd"/>
      <w:r w:rsidRPr="00D674DF">
        <w:rPr>
          <w:rFonts w:ascii="Arial" w:eastAsia="Arial" w:hAnsi="Arial" w:cs="Arial"/>
          <w:i/>
          <w:color w:val="000000" w:themeColor="text1"/>
        </w:rPr>
        <w:t xml:space="preserve"> is not an adequate basis to conclude that the witness is unreliable, merely because the witness' account does not accord with some case theory which is attractive to the prosecutor. </w:t>
      </w:r>
    </w:p>
    <w:p w14:paraId="501013BB" w14:textId="2845ECC8" w:rsidR="00252411" w:rsidRPr="00D674DF" w:rsidRDefault="00252411" w:rsidP="00F977C9">
      <w:pPr>
        <w:pStyle w:val="ListParagraph"/>
        <w:numPr>
          <w:ilvl w:val="0"/>
          <w:numId w:val="22"/>
        </w:numPr>
        <w:snapToGrid w:val="0"/>
        <w:spacing w:before="240" w:after="240" w:line="360" w:lineRule="auto"/>
        <w:ind w:right="114"/>
        <w:jc w:val="both"/>
        <w:rPr>
          <w:color w:val="000000" w:themeColor="text1"/>
        </w:rPr>
      </w:pPr>
      <w:r w:rsidRPr="00D674DF">
        <w:rPr>
          <w:rFonts w:ascii="Arial" w:eastAsia="Arial" w:hAnsi="Arial" w:cs="Arial"/>
          <w:color w:val="000000" w:themeColor="text1"/>
        </w:rPr>
        <w:t xml:space="preserve">Citing </w:t>
      </w:r>
      <w:r w:rsidRPr="00D674DF">
        <w:rPr>
          <w:rFonts w:ascii="Arial" w:eastAsia="Arial" w:hAnsi="Arial" w:cs="Arial"/>
          <w:i/>
          <w:color w:val="000000" w:themeColor="text1"/>
        </w:rPr>
        <w:t xml:space="preserve">R v </w:t>
      </w:r>
      <w:proofErr w:type="spellStart"/>
      <w:r w:rsidRPr="00D674DF">
        <w:rPr>
          <w:rFonts w:ascii="Arial" w:eastAsia="Arial" w:hAnsi="Arial" w:cs="Arial"/>
          <w:i/>
          <w:color w:val="000000" w:themeColor="text1"/>
        </w:rPr>
        <w:t>Apostilides</w:t>
      </w:r>
      <w:proofErr w:type="spellEnd"/>
      <w:r w:rsidRPr="00D674DF">
        <w:rPr>
          <w:rFonts w:ascii="Arial" w:eastAsia="Arial" w:hAnsi="Arial" w:cs="Arial"/>
          <w:i/>
          <w:color w:val="000000" w:themeColor="text1"/>
        </w:rPr>
        <w:t xml:space="preserve"> </w:t>
      </w:r>
      <w:r w:rsidRPr="00D674DF">
        <w:rPr>
          <w:rFonts w:ascii="Arial" w:eastAsia="Arial" w:hAnsi="Arial" w:cs="Arial"/>
          <w:color w:val="000000" w:themeColor="text1"/>
        </w:rPr>
        <w:t xml:space="preserve">(1984) 154 CLR 563, in </w:t>
      </w:r>
      <w:r w:rsidRPr="00D674DF">
        <w:rPr>
          <w:rFonts w:ascii="Arial" w:eastAsia="Arial" w:hAnsi="Arial" w:cs="Arial"/>
          <w:i/>
          <w:color w:val="000000" w:themeColor="text1"/>
        </w:rPr>
        <w:t>Kneebone</w:t>
      </w:r>
      <w:r w:rsidRPr="00D674DF">
        <w:rPr>
          <w:rFonts w:ascii="Arial" w:eastAsia="Arial" w:hAnsi="Arial" w:cs="Arial"/>
          <w:color w:val="000000" w:themeColor="text1"/>
        </w:rPr>
        <w:t xml:space="preserve">, Smart AJ summarised </w:t>
      </w:r>
      <w:proofErr w:type="gramStart"/>
      <w:r w:rsidRPr="00D674DF">
        <w:rPr>
          <w:rFonts w:ascii="Arial" w:eastAsia="Arial" w:hAnsi="Arial" w:cs="Arial"/>
          <w:color w:val="000000" w:themeColor="text1"/>
        </w:rPr>
        <w:t>a number of</w:t>
      </w:r>
      <w:proofErr w:type="gramEnd"/>
      <w:r w:rsidRPr="00D674DF">
        <w:rPr>
          <w:rFonts w:ascii="Arial" w:eastAsia="Arial" w:hAnsi="Arial" w:cs="Arial"/>
          <w:color w:val="000000" w:themeColor="text1"/>
        </w:rPr>
        <w:t xml:space="preserve"> principals relevant to the calling of witness and said the following, at [102]: </w:t>
      </w:r>
    </w:p>
    <w:p w14:paraId="13D1C56D" w14:textId="77777777" w:rsidR="00252411" w:rsidRPr="00D674DF" w:rsidRDefault="00252411" w:rsidP="00A03A03">
      <w:pPr>
        <w:snapToGrid w:val="0"/>
        <w:spacing w:before="240" w:after="240" w:line="360" w:lineRule="auto"/>
        <w:ind w:left="1145" w:right="689" w:hanging="10"/>
        <w:jc w:val="both"/>
        <w:rPr>
          <w:color w:val="000000" w:themeColor="text1"/>
        </w:rPr>
      </w:pPr>
      <w:r w:rsidRPr="00D674DF">
        <w:rPr>
          <w:rFonts w:ascii="Arial" w:eastAsia="Arial" w:hAnsi="Arial" w:cs="Arial"/>
          <w:i/>
          <w:color w:val="000000" w:themeColor="text1"/>
        </w:rPr>
        <w:lastRenderedPageBreak/>
        <w:t xml:space="preserve">…(f) The prosecutor's judgment must be based on more than a feeling or intuition. </w:t>
      </w:r>
      <w:r w:rsidRPr="00D674DF">
        <w:rPr>
          <w:rFonts w:ascii="Arial" w:eastAsia="Arial" w:hAnsi="Arial" w:cs="Arial"/>
          <w:b/>
          <w:bCs/>
          <w:i/>
          <w:color w:val="000000" w:themeColor="text1"/>
        </w:rPr>
        <w:t>There must be identifiable factors pointing to unreliability or lack of belief in the proposed evidence of the witness</w:t>
      </w:r>
      <w:r w:rsidRPr="00D674DF">
        <w:rPr>
          <w:rFonts w:ascii="Arial" w:eastAsia="Arial" w:hAnsi="Arial" w:cs="Arial"/>
          <w:i/>
          <w:color w:val="000000" w:themeColor="text1"/>
        </w:rPr>
        <w:t xml:space="preserve">. It is not enough that the prosecutor considers that the evidence may be unreliable. Suspicion, scepticism and errors on subsidiary matters will not suffice. The attention of the prosecutor should be on matters of substance and even on these there may be significant differences between the witnesses. It is for the jury to resolve these… </w:t>
      </w:r>
    </w:p>
    <w:p w14:paraId="718FADED" w14:textId="77777777" w:rsidR="00252411" w:rsidRPr="00D674DF" w:rsidRDefault="00252411" w:rsidP="00A03A03">
      <w:pPr>
        <w:snapToGrid w:val="0"/>
        <w:spacing w:before="240" w:after="240" w:line="360" w:lineRule="auto"/>
        <w:rPr>
          <w:color w:val="000000" w:themeColor="text1"/>
        </w:rPr>
      </w:pPr>
    </w:p>
    <w:p w14:paraId="01136831" w14:textId="77777777" w:rsidR="000A0A90" w:rsidRPr="00D674DF" w:rsidRDefault="000A0A90" w:rsidP="00A03A03">
      <w:pPr>
        <w:snapToGrid w:val="0"/>
        <w:spacing w:before="240" w:after="240" w:line="360" w:lineRule="auto"/>
        <w:ind w:right="168"/>
        <w:jc w:val="both"/>
        <w:rPr>
          <w:rFonts w:ascii="Arial" w:hAnsi="Arial" w:cs="Arial"/>
          <w:color w:val="000000" w:themeColor="text1"/>
        </w:rPr>
      </w:pPr>
    </w:p>
    <w:p w14:paraId="53DC0500" w14:textId="77777777" w:rsidR="00C34DB5" w:rsidRPr="00D674DF" w:rsidRDefault="00C34DB5" w:rsidP="00A03A03">
      <w:pPr>
        <w:pStyle w:val="ListParagraph"/>
        <w:snapToGrid w:val="0"/>
        <w:spacing w:before="240" w:after="240" w:line="360" w:lineRule="auto"/>
        <w:contextualSpacing w:val="0"/>
        <w:rPr>
          <w:rFonts w:ascii="Arial" w:hAnsi="Arial" w:cs="Arial"/>
          <w:color w:val="000000" w:themeColor="text1"/>
        </w:rPr>
      </w:pPr>
    </w:p>
    <w:p w14:paraId="1688C9E5" w14:textId="77777777" w:rsidR="00C34DB5" w:rsidRPr="00D674DF" w:rsidRDefault="00C34DB5" w:rsidP="00A03A03">
      <w:pPr>
        <w:snapToGrid w:val="0"/>
        <w:spacing w:before="240" w:after="240" w:line="360" w:lineRule="auto"/>
        <w:rPr>
          <w:rFonts w:ascii="Arial" w:hAnsi="Arial" w:cs="Arial"/>
          <w:color w:val="000000" w:themeColor="text1"/>
        </w:rPr>
      </w:pPr>
    </w:p>
    <w:p w14:paraId="07BC9232" w14:textId="77777777" w:rsidR="00C34DB5" w:rsidRPr="00D674DF" w:rsidRDefault="00C34DB5" w:rsidP="00A03A03">
      <w:pPr>
        <w:snapToGrid w:val="0"/>
        <w:spacing w:before="240" w:after="240" w:line="360" w:lineRule="auto"/>
        <w:rPr>
          <w:color w:val="000000" w:themeColor="text1"/>
        </w:rPr>
      </w:pPr>
    </w:p>
    <w:p w14:paraId="29F2F03E" w14:textId="77777777" w:rsidR="00C34DB5" w:rsidRPr="00D674DF" w:rsidRDefault="00C34DB5" w:rsidP="00A03A03">
      <w:pPr>
        <w:snapToGrid w:val="0"/>
        <w:spacing w:before="240" w:after="240" w:line="360" w:lineRule="auto"/>
        <w:rPr>
          <w:color w:val="000000" w:themeColor="text1"/>
        </w:rPr>
      </w:pPr>
    </w:p>
    <w:sectPr w:rsidR="00C34DB5" w:rsidRPr="00D674DF" w:rsidSect="00C34DB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F239E" w14:textId="77777777" w:rsidR="000A051B" w:rsidRDefault="000A051B" w:rsidP="00460F36">
      <w:pPr>
        <w:spacing w:after="0" w:line="240" w:lineRule="auto"/>
      </w:pPr>
      <w:r>
        <w:separator/>
      </w:r>
    </w:p>
  </w:endnote>
  <w:endnote w:type="continuationSeparator" w:id="0">
    <w:p w14:paraId="213201B2" w14:textId="77777777" w:rsidR="000A051B" w:rsidRDefault="000A051B" w:rsidP="0046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0D2D9" w14:textId="77777777" w:rsidR="000A051B" w:rsidRDefault="000A051B" w:rsidP="00460F36">
      <w:pPr>
        <w:spacing w:after="0" w:line="240" w:lineRule="auto"/>
      </w:pPr>
      <w:r>
        <w:separator/>
      </w:r>
    </w:p>
  </w:footnote>
  <w:footnote w:type="continuationSeparator" w:id="0">
    <w:p w14:paraId="5187354F" w14:textId="77777777" w:rsidR="000A051B" w:rsidRDefault="000A051B" w:rsidP="00460F36">
      <w:pPr>
        <w:spacing w:after="0" w:line="240" w:lineRule="auto"/>
      </w:pPr>
      <w:r>
        <w:continuationSeparator/>
      </w:r>
    </w:p>
  </w:footnote>
  <w:footnote w:id="1">
    <w:p w14:paraId="1AD52DBB" w14:textId="604B168D" w:rsidR="00460F36" w:rsidRDefault="00460F36">
      <w:pPr>
        <w:pStyle w:val="FootnoteText"/>
      </w:pPr>
      <w:r>
        <w:rPr>
          <w:rStyle w:val="FootnoteReference"/>
        </w:rPr>
        <w:footnoteRef/>
      </w:r>
      <w:r>
        <w:t xml:space="preserve">   </w:t>
      </w:r>
      <w:hyperlink r:id="rId1" w:history="1">
        <w:r w:rsidR="00CE7921" w:rsidRPr="007958CF">
          <w:rPr>
            <w:rStyle w:val="Hyperlink"/>
          </w:rPr>
          <w:t>https://www.caselaw.nsw.gov.au/decision/18a012c47f4ab3ecf1611a8b</w:t>
        </w:r>
      </w:hyperlink>
    </w:p>
    <w:p w14:paraId="127F07EC" w14:textId="77777777" w:rsidR="00CE7921" w:rsidRDefault="00CE7921">
      <w:pPr>
        <w:pStyle w:val="FootnoteText"/>
      </w:pPr>
    </w:p>
  </w:footnote>
  <w:footnote w:id="2">
    <w:p w14:paraId="50001563" w14:textId="77777777" w:rsidR="003F2F7D" w:rsidRPr="0071337D" w:rsidRDefault="003F2F7D" w:rsidP="003F2F7D">
      <w:pPr>
        <w:pStyle w:val="FootnoteText"/>
      </w:pPr>
      <w:r>
        <w:rPr>
          <w:rStyle w:val="FootnoteReference"/>
        </w:rPr>
        <w:footnoteRef/>
      </w:r>
      <w:r>
        <w:t xml:space="preserve">   </w:t>
      </w:r>
      <w:r w:rsidRPr="00507415">
        <w:t>Headnote.</w:t>
      </w:r>
      <w:r w:rsidRPr="00507415">
        <w:br/>
      </w:r>
    </w:p>
  </w:footnote>
  <w:footnote w:id="3">
    <w:p w14:paraId="7B6A9895" w14:textId="77777777" w:rsidR="00802837" w:rsidRPr="00431484" w:rsidRDefault="00802837" w:rsidP="00802837">
      <w:pPr>
        <w:pStyle w:val="FootnoteText"/>
      </w:pPr>
      <w:r>
        <w:rPr>
          <w:rStyle w:val="FootnoteReference"/>
        </w:rPr>
        <w:footnoteRef/>
      </w:r>
      <w:r>
        <w:t xml:space="preserve">  </w:t>
      </w:r>
      <w:r w:rsidRPr="00507415">
        <w:rPr>
          <w:i/>
          <w:iCs/>
        </w:rPr>
        <w:t xml:space="preserve"> R v Rodden</w:t>
      </w:r>
      <w:r w:rsidRPr="00507415">
        <w:t xml:space="preserve"> </w:t>
      </w:r>
      <w:r w:rsidRPr="00C81485">
        <w:rPr>
          <w:i/>
          <w:iCs/>
        </w:rPr>
        <w:t>(Costs)</w:t>
      </w:r>
      <w:r w:rsidRPr="00507415">
        <w:t xml:space="preserve"> [2022] NSWSC 1230</w:t>
      </w:r>
      <w:r>
        <w:t>.</w:t>
      </w:r>
    </w:p>
  </w:footnote>
  <w:footnote w:id="4">
    <w:p w14:paraId="1EED35D3" w14:textId="05EB3ABD" w:rsidR="00E9029E" w:rsidRDefault="00E9029E" w:rsidP="00E9029E">
      <w:pPr>
        <w:pStyle w:val="FootnoteText"/>
      </w:pPr>
      <w:r>
        <w:rPr>
          <w:rStyle w:val="FootnoteReference"/>
        </w:rPr>
        <w:footnoteRef/>
      </w:r>
      <w:r>
        <w:t xml:space="preserve">   </w:t>
      </w:r>
      <w:r w:rsidRPr="00450260">
        <w:rPr>
          <w:i/>
          <w:iCs/>
        </w:rPr>
        <w:t>Rodden v R [2023]</w:t>
      </w:r>
      <w:r w:rsidRPr="00450260">
        <w:t xml:space="preserve"> NSWCCA 202</w:t>
      </w:r>
      <w:r>
        <w:t xml:space="preserve"> at [62]</w:t>
      </w:r>
    </w:p>
    <w:p w14:paraId="1E63C9F2" w14:textId="0D36A63D" w:rsidR="00E9029E" w:rsidRDefault="00E902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169475331"/>
      <w:docPartObj>
        <w:docPartGallery w:val="Page Numbers (Top of Page)"/>
        <w:docPartUnique/>
      </w:docPartObj>
    </w:sdtPr>
    <w:sdtEndPr>
      <w:rPr>
        <w:b/>
        <w:bCs/>
        <w:noProof/>
        <w:color w:val="auto"/>
        <w:spacing w:val="0"/>
      </w:rPr>
    </w:sdtEndPr>
    <w:sdtContent>
      <w:p w14:paraId="7DBA9E37" w14:textId="7AA9BF8B" w:rsidR="00E24D8B" w:rsidRDefault="00E24D8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7ED13CD" w14:textId="77777777" w:rsidR="00E24D8B" w:rsidRDefault="00E24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B4B"/>
    <w:multiLevelType w:val="hybridMultilevel"/>
    <w:tmpl w:val="446A2A78"/>
    <w:lvl w:ilvl="0" w:tplc="3F1A5B40">
      <w:start w:val="30"/>
      <w:numFmt w:val="decimal"/>
      <w:lvlText w:val="%1."/>
      <w:lvlJc w:val="left"/>
      <w:pPr>
        <w:ind w:left="0" w:firstLine="0"/>
      </w:pPr>
      <w:rPr>
        <w:rFonts w:ascii="Arial" w:eastAsia="Arial" w:hAnsi="Arial" w:cs="Arial"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12" w:hanging="360"/>
      </w:pPr>
    </w:lvl>
    <w:lvl w:ilvl="2" w:tplc="0C09001B" w:tentative="1">
      <w:start w:val="1"/>
      <w:numFmt w:val="lowerRoman"/>
      <w:lvlText w:val="%3."/>
      <w:lvlJc w:val="right"/>
      <w:pPr>
        <w:ind w:left="-692" w:hanging="180"/>
      </w:pPr>
    </w:lvl>
    <w:lvl w:ilvl="3" w:tplc="0C09000F" w:tentative="1">
      <w:start w:val="1"/>
      <w:numFmt w:val="decimal"/>
      <w:lvlText w:val="%4."/>
      <w:lvlJc w:val="left"/>
      <w:pPr>
        <w:ind w:left="28" w:hanging="360"/>
      </w:pPr>
    </w:lvl>
    <w:lvl w:ilvl="4" w:tplc="0C090019" w:tentative="1">
      <w:start w:val="1"/>
      <w:numFmt w:val="lowerLetter"/>
      <w:lvlText w:val="%5."/>
      <w:lvlJc w:val="left"/>
      <w:pPr>
        <w:ind w:left="748" w:hanging="360"/>
      </w:pPr>
    </w:lvl>
    <w:lvl w:ilvl="5" w:tplc="0C09001B" w:tentative="1">
      <w:start w:val="1"/>
      <w:numFmt w:val="lowerRoman"/>
      <w:lvlText w:val="%6."/>
      <w:lvlJc w:val="right"/>
      <w:pPr>
        <w:ind w:left="1468" w:hanging="180"/>
      </w:pPr>
    </w:lvl>
    <w:lvl w:ilvl="6" w:tplc="0C09000F" w:tentative="1">
      <w:start w:val="1"/>
      <w:numFmt w:val="decimal"/>
      <w:lvlText w:val="%7."/>
      <w:lvlJc w:val="left"/>
      <w:pPr>
        <w:ind w:left="2188" w:hanging="360"/>
      </w:pPr>
    </w:lvl>
    <w:lvl w:ilvl="7" w:tplc="0C090019" w:tentative="1">
      <w:start w:val="1"/>
      <w:numFmt w:val="lowerLetter"/>
      <w:lvlText w:val="%8."/>
      <w:lvlJc w:val="left"/>
      <w:pPr>
        <w:ind w:left="2908" w:hanging="360"/>
      </w:pPr>
    </w:lvl>
    <w:lvl w:ilvl="8" w:tplc="0C09001B" w:tentative="1">
      <w:start w:val="1"/>
      <w:numFmt w:val="lowerRoman"/>
      <w:lvlText w:val="%9."/>
      <w:lvlJc w:val="right"/>
      <w:pPr>
        <w:ind w:left="3628" w:hanging="180"/>
      </w:pPr>
    </w:lvl>
  </w:abstractNum>
  <w:abstractNum w:abstractNumId="1" w15:restartNumberingAfterBreak="0">
    <w:nsid w:val="01A1217C"/>
    <w:multiLevelType w:val="hybridMultilevel"/>
    <w:tmpl w:val="94B08B58"/>
    <w:lvl w:ilvl="0" w:tplc="33722194">
      <w:start w:val="1"/>
      <w:numFmt w:val="lowerLetter"/>
      <w:lvlText w:val="(%1)"/>
      <w:lvlJc w:val="left"/>
      <w:pPr>
        <w:ind w:left="2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F70F36C">
      <w:start w:val="1"/>
      <w:numFmt w:val="lowerLetter"/>
      <w:lvlText w:val="%2"/>
      <w:lvlJc w:val="left"/>
      <w:pPr>
        <w:ind w:left="33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8E6E3AE">
      <w:start w:val="1"/>
      <w:numFmt w:val="lowerRoman"/>
      <w:lvlText w:val="%3"/>
      <w:lvlJc w:val="left"/>
      <w:pPr>
        <w:ind w:left="40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7C893BA">
      <w:start w:val="1"/>
      <w:numFmt w:val="decimal"/>
      <w:lvlText w:val="%4"/>
      <w:lvlJc w:val="left"/>
      <w:pPr>
        <w:ind w:left="48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7C8162A">
      <w:start w:val="1"/>
      <w:numFmt w:val="lowerLetter"/>
      <w:lvlText w:val="%5"/>
      <w:lvlJc w:val="left"/>
      <w:pPr>
        <w:ind w:left="55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F785304">
      <w:start w:val="1"/>
      <w:numFmt w:val="lowerRoman"/>
      <w:lvlText w:val="%6"/>
      <w:lvlJc w:val="left"/>
      <w:pPr>
        <w:ind w:left="62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EDA01FA">
      <w:start w:val="1"/>
      <w:numFmt w:val="decimal"/>
      <w:lvlText w:val="%7"/>
      <w:lvlJc w:val="left"/>
      <w:pPr>
        <w:ind w:left="69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BDE971A">
      <w:start w:val="1"/>
      <w:numFmt w:val="lowerLetter"/>
      <w:lvlText w:val="%8"/>
      <w:lvlJc w:val="left"/>
      <w:pPr>
        <w:ind w:left="76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7600F22">
      <w:start w:val="1"/>
      <w:numFmt w:val="lowerRoman"/>
      <w:lvlText w:val="%9"/>
      <w:lvlJc w:val="left"/>
      <w:pPr>
        <w:ind w:left="84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3B18EB"/>
    <w:multiLevelType w:val="hybridMultilevel"/>
    <w:tmpl w:val="6820F65C"/>
    <w:lvl w:ilvl="0" w:tplc="0809001B">
      <w:start w:val="1"/>
      <w:numFmt w:val="lowerRoman"/>
      <w:lvlText w:val="%1."/>
      <w:lvlJc w:val="righ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3" w15:restartNumberingAfterBreak="0">
    <w:nsid w:val="0559560E"/>
    <w:multiLevelType w:val="hybridMultilevel"/>
    <w:tmpl w:val="4F3C3A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B53FA"/>
    <w:multiLevelType w:val="hybridMultilevel"/>
    <w:tmpl w:val="534E564E"/>
    <w:lvl w:ilvl="0" w:tplc="0809001B">
      <w:start w:val="1"/>
      <w:numFmt w:val="lowerRoman"/>
      <w:lvlText w:val="%1."/>
      <w:lvlJc w:val="right"/>
      <w:pPr>
        <w:ind w:left="27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C83892"/>
    <w:multiLevelType w:val="hybridMultilevel"/>
    <w:tmpl w:val="42DC825A"/>
    <w:lvl w:ilvl="0" w:tplc="55620440">
      <w:start w:val="1"/>
      <w:numFmt w:val="decimal"/>
      <w:lvlText w:val="%1."/>
      <w:lvlJc w:val="left"/>
      <w:pPr>
        <w:ind w:left="720" w:hanging="360"/>
      </w:pPr>
      <w:rPr>
        <w:rFonts w:ascii="Arial" w:hAnsi="Arial" w:cs="Arial" w:hint="default"/>
        <w:sz w:val="22"/>
        <w:szCs w:val="22"/>
      </w:rPr>
    </w:lvl>
    <w:lvl w:ilvl="1" w:tplc="0C090019">
      <w:start w:val="1"/>
      <w:numFmt w:val="lowerLetter"/>
      <w:lvlText w:val="%2."/>
      <w:lvlJc w:val="left"/>
      <w:pPr>
        <w:ind w:left="1440" w:hanging="360"/>
      </w:pPr>
    </w:lvl>
    <w:lvl w:ilvl="2" w:tplc="0C09000F">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122805"/>
    <w:multiLevelType w:val="hybridMultilevel"/>
    <w:tmpl w:val="2A681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9A4EAE"/>
    <w:multiLevelType w:val="hybridMultilevel"/>
    <w:tmpl w:val="7E202614"/>
    <w:lvl w:ilvl="0" w:tplc="3014E960">
      <w:start w:val="1"/>
      <w:numFmt w:val="lowerRoman"/>
      <w:lvlText w:val="(%1)"/>
      <w:lvlJc w:val="left"/>
      <w:pPr>
        <w:ind w:left="34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E1CF87E">
      <w:start w:val="1"/>
      <w:numFmt w:val="lowerLetter"/>
      <w:lvlText w:val="%2"/>
      <w:lvlJc w:val="left"/>
      <w:pPr>
        <w:ind w:left="278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9304568">
      <w:start w:val="1"/>
      <w:numFmt w:val="lowerRoman"/>
      <w:lvlText w:val="%3"/>
      <w:lvlJc w:val="left"/>
      <w:pPr>
        <w:ind w:left="350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13C66CA">
      <w:start w:val="1"/>
      <w:numFmt w:val="decimal"/>
      <w:lvlText w:val="%4"/>
      <w:lvlJc w:val="left"/>
      <w:pPr>
        <w:ind w:left="422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65AD080">
      <w:start w:val="1"/>
      <w:numFmt w:val="lowerLetter"/>
      <w:lvlText w:val="%5"/>
      <w:lvlJc w:val="left"/>
      <w:pPr>
        <w:ind w:left="494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5B83EEA">
      <w:start w:val="1"/>
      <w:numFmt w:val="lowerRoman"/>
      <w:lvlText w:val="%6"/>
      <w:lvlJc w:val="left"/>
      <w:pPr>
        <w:ind w:left="56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04EBDF0">
      <w:start w:val="1"/>
      <w:numFmt w:val="decimal"/>
      <w:lvlText w:val="%7"/>
      <w:lvlJc w:val="left"/>
      <w:pPr>
        <w:ind w:left="638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BA613AE">
      <w:start w:val="1"/>
      <w:numFmt w:val="lowerLetter"/>
      <w:lvlText w:val="%8"/>
      <w:lvlJc w:val="left"/>
      <w:pPr>
        <w:ind w:left="710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4E626D6">
      <w:start w:val="1"/>
      <w:numFmt w:val="lowerRoman"/>
      <w:lvlText w:val="%9"/>
      <w:lvlJc w:val="left"/>
      <w:pPr>
        <w:ind w:left="782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E8652D"/>
    <w:multiLevelType w:val="hybridMultilevel"/>
    <w:tmpl w:val="7968FC92"/>
    <w:lvl w:ilvl="0" w:tplc="1852414C">
      <w:start w:val="6"/>
      <w:numFmt w:val="decimal"/>
      <w:lvlText w:val="%1."/>
      <w:lvlJc w:val="left"/>
      <w:pPr>
        <w:ind w:left="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A018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E2A1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EA0E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0C79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5854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90A0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1A34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124A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F7524A"/>
    <w:multiLevelType w:val="hybridMultilevel"/>
    <w:tmpl w:val="0C58E034"/>
    <w:lvl w:ilvl="0" w:tplc="0809001B">
      <w:start w:val="1"/>
      <w:numFmt w:val="lowerRoman"/>
      <w:lvlText w:val="%1."/>
      <w:lvlJc w:val="right"/>
      <w:pPr>
        <w:ind w:left="270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A664A6"/>
    <w:multiLevelType w:val="hybridMultilevel"/>
    <w:tmpl w:val="E9922ED4"/>
    <w:lvl w:ilvl="0" w:tplc="97CE36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8D15FF"/>
    <w:multiLevelType w:val="hybridMultilevel"/>
    <w:tmpl w:val="15B2D658"/>
    <w:lvl w:ilvl="0" w:tplc="6ECC20E4">
      <w:start w:val="2"/>
      <w:numFmt w:val="decimal"/>
      <w:lvlText w:val="(%1)"/>
      <w:lvlJc w:val="left"/>
      <w:pPr>
        <w:ind w:left="17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724E930">
      <w:start w:val="1"/>
      <w:numFmt w:val="lowerLetter"/>
      <w:lvlText w:val="(%2)"/>
      <w:lvlJc w:val="left"/>
      <w:pPr>
        <w:ind w:left="22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4A8B40E">
      <w:start w:val="1"/>
      <w:numFmt w:val="lowerRoman"/>
      <w:lvlText w:val="%3"/>
      <w:lvlJc w:val="left"/>
      <w:pPr>
        <w:ind w:left="165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DB0581C">
      <w:start w:val="1"/>
      <w:numFmt w:val="decimal"/>
      <w:lvlText w:val="%4"/>
      <w:lvlJc w:val="left"/>
      <w:pPr>
        <w:ind w:left="237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B3EB640">
      <w:start w:val="1"/>
      <w:numFmt w:val="lowerLetter"/>
      <w:lvlText w:val="%5"/>
      <w:lvlJc w:val="left"/>
      <w:pPr>
        <w:ind w:left="30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122454A">
      <w:start w:val="1"/>
      <w:numFmt w:val="lowerRoman"/>
      <w:lvlText w:val="%6"/>
      <w:lvlJc w:val="left"/>
      <w:pPr>
        <w:ind w:left="38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A8AC8C2">
      <w:start w:val="1"/>
      <w:numFmt w:val="decimal"/>
      <w:lvlText w:val="%7"/>
      <w:lvlJc w:val="left"/>
      <w:pPr>
        <w:ind w:left="45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7F8DE98">
      <w:start w:val="1"/>
      <w:numFmt w:val="lowerLetter"/>
      <w:lvlText w:val="%8"/>
      <w:lvlJc w:val="left"/>
      <w:pPr>
        <w:ind w:left="525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122B26C">
      <w:start w:val="1"/>
      <w:numFmt w:val="lowerRoman"/>
      <w:lvlText w:val="%9"/>
      <w:lvlJc w:val="left"/>
      <w:pPr>
        <w:ind w:left="597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0B6C21"/>
    <w:multiLevelType w:val="hybridMultilevel"/>
    <w:tmpl w:val="EB8E6896"/>
    <w:lvl w:ilvl="0" w:tplc="1A64DD24">
      <w:start w:val="50"/>
      <w:numFmt w:val="decimal"/>
      <w:lvlText w:val="%1."/>
      <w:lvlJc w:val="left"/>
      <w:pPr>
        <w:ind w:left="0" w:firstLine="0"/>
      </w:pPr>
      <w:rPr>
        <w:rFonts w:ascii="Arial" w:eastAsia="Arial" w:hAnsi="Arial" w:cs="Arial"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845" w:hanging="360"/>
      </w:pPr>
    </w:lvl>
    <w:lvl w:ilvl="2" w:tplc="0C09001B" w:tentative="1">
      <w:start w:val="1"/>
      <w:numFmt w:val="lowerRoman"/>
      <w:lvlText w:val="%3."/>
      <w:lvlJc w:val="right"/>
      <w:pPr>
        <w:ind w:left="-125" w:hanging="180"/>
      </w:pPr>
    </w:lvl>
    <w:lvl w:ilvl="3" w:tplc="0C09000F" w:tentative="1">
      <w:start w:val="1"/>
      <w:numFmt w:val="decimal"/>
      <w:lvlText w:val="%4."/>
      <w:lvlJc w:val="left"/>
      <w:pPr>
        <w:ind w:left="595" w:hanging="360"/>
      </w:pPr>
    </w:lvl>
    <w:lvl w:ilvl="4" w:tplc="0C090019" w:tentative="1">
      <w:start w:val="1"/>
      <w:numFmt w:val="lowerLetter"/>
      <w:lvlText w:val="%5."/>
      <w:lvlJc w:val="left"/>
      <w:pPr>
        <w:ind w:left="1315" w:hanging="360"/>
      </w:pPr>
    </w:lvl>
    <w:lvl w:ilvl="5" w:tplc="0C09001B" w:tentative="1">
      <w:start w:val="1"/>
      <w:numFmt w:val="lowerRoman"/>
      <w:lvlText w:val="%6."/>
      <w:lvlJc w:val="right"/>
      <w:pPr>
        <w:ind w:left="2035" w:hanging="180"/>
      </w:pPr>
    </w:lvl>
    <w:lvl w:ilvl="6" w:tplc="0C09000F" w:tentative="1">
      <w:start w:val="1"/>
      <w:numFmt w:val="decimal"/>
      <w:lvlText w:val="%7."/>
      <w:lvlJc w:val="left"/>
      <w:pPr>
        <w:ind w:left="2755" w:hanging="360"/>
      </w:pPr>
    </w:lvl>
    <w:lvl w:ilvl="7" w:tplc="0C090019" w:tentative="1">
      <w:start w:val="1"/>
      <w:numFmt w:val="lowerLetter"/>
      <w:lvlText w:val="%8."/>
      <w:lvlJc w:val="left"/>
      <w:pPr>
        <w:ind w:left="3475" w:hanging="360"/>
      </w:pPr>
    </w:lvl>
    <w:lvl w:ilvl="8" w:tplc="0C09001B" w:tentative="1">
      <w:start w:val="1"/>
      <w:numFmt w:val="lowerRoman"/>
      <w:lvlText w:val="%9."/>
      <w:lvlJc w:val="right"/>
      <w:pPr>
        <w:ind w:left="4195" w:hanging="180"/>
      </w:pPr>
    </w:lvl>
  </w:abstractNum>
  <w:abstractNum w:abstractNumId="13" w15:restartNumberingAfterBreak="0">
    <w:nsid w:val="37BE460E"/>
    <w:multiLevelType w:val="hybridMultilevel"/>
    <w:tmpl w:val="2200E560"/>
    <w:lvl w:ilvl="0" w:tplc="0C09000F">
      <w:start w:val="1"/>
      <w:numFmt w:val="decimal"/>
      <w:lvlText w:val="%1."/>
      <w:lvlJc w:val="left"/>
      <w:pPr>
        <w:ind w:left="23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75434"/>
    <w:multiLevelType w:val="hybridMultilevel"/>
    <w:tmpl w:val="01348FA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CB0A9C"/>
    <w:multiLevelType w:val="hybridMultilevel"/>
    <w:tmpl w:val="63EAA6BC"/>
    <w:lvl w:ilvl="0" w:tplc="FFFFFFFF">
      <w:start w:val="1"/>
      <w:numFmt w:val="decimal"/>
      <w:lvlText w:val="%1."/>
      <w:lvlJc w:val="left"/>
      <w:pPr>
        <w:ind w:left="720" w:hanging="360"/>
      </w:pPr>
    </w:lvl>
    <w:lvl w:ilvl="1" w:tplc="76D8BC78">
      <w:start w:val="1"/>
      <w:numFmt w:val="lowerLetter"/>
      <w:lvlText w:val="%2."/>
      <w:lvlJc w:val="left"/>
      <w:pPr>
        <w:ind w:left="1440" w:hanging="360"/>
      </w:pPr>
      <w:rPr>
        <w:rFonts w:hint="default"/>
      </w:r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9367DF"/>
    <w:multiLevelType w:val="hybridMultilevel"/>
    <w:tmpl w:val="5100CCB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08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2836DE"/>
    <w:multiLevelType w:val="hybridMultilevel"/>
    <w:tmpl w:val="41D4DAAE"/>
    <w:lvl w:ilvl="0" w:tplc="EFBC9FEE">
      <w:start w:val="29"/>
      <w:numFmt w:val="decimal"/>
      <w:lvlText w:val="%1."/>
      <w:lvlJc w:val="left"/>
      <w:pPr>
        <w:ind w:left="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9AC1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EC14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E0E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DAA0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76AD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DCC1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1623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CC6C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60420B7"/>
    <w:multiLevelType w:val="hybridMultilevel"/>
    <w:tmpl w:val="65D28202"/>
    <w:lvl w:ilvl="0" w:tplc="0A4A1DC8">
      <w:start w:val="15"/>
      <w:numFmt w:val="decimal"/>
      <w:lvlText w:val="%1."/>
      <w:lvlJc w:val="left"/>
      <w:pPr>
        <w:ind w:left="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94CA42">
      <w:start w:val="1"/>
      <w:numFmt w:val="lowerLetter"/>
      <w:lvlText w:val="%2"/>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C4EDA0">
      <w:start w:val="1"/>
      <w:numFmt w:val="lowerRoman"/>
      <w:lvlText w:val="%3"/>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F46860">
      <w:start w:val="1"/>
      <w:numFmt w:val="decimal"/>
      <w:lvlText w:val="%4"/>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61C0">
      <w:start w:val="1"/>
      <w:numFmt w:val="lowerLetter"/>
      <w:lvlText w:val="%5"/>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FCAB0E">
      <w:start w:val="1"/>
      <w:numFmt w:val="lowerRoman"/>
      <w:lvlText w:val="%6"/>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1ABB20">
      <w:start w:val="1"/>
      <w:numFmt w:val="decimal"/>
      <w:lvlText w:val="%7"/>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28080C">
      <w:start w:val="1"/>
      <w:numFmt w:val="lowerLetter"/>
      <w:lvlText w:val="%8"/>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9447D6">
      <w:start w:val="1"/>
      <w:numFmt w:val="lowerRoman"/>
      <w:lvlText w:val="%9"/>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8DB0B2B"/>
    <w:multiLevelType w:val="hybridMultilevel"/>
    <w:tmpl w:val="28048C54"/>
    <w:lvl w:ilvl="0" w:tplc="1DBC088A">
      <w:start w:val="89"/>
      <w:numFmt w:val="decimal"/>
      <w:lvlText w:val="%1"/>
      <w:lvlJc w:val="left"/>
      <w:pPr>
        <w:ind w:left="22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00E6E48C">
      <w:start w:val="1"/>
      <w:numFmt w:val="lowerLetter"/>
      <w:lvlText w:val="(%2)"/>
      <w:lvlJc w:val="left"/>
      <w:pPr>
        <w:ind w:left="2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A1E5CE8">
      <w:start w:val="1"/>
      <w:numFmt w:val="lowerRoman"/>
      <w:lvlText w:val="%3"/>
      <w:lvlJc w:val="left"/>
      <w:pPr>
        <w:ind w:left="33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5B8C854">
      <w:start w:val="1"/>
      <w:numFmt w:val="decimal"/>
      <w:lvlText w:val="%4"/>
      <w:lvlJc w:val="left"/>
      <w:pPr>
        <w:ind w:left="40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C4098F8">
      <w:start w:val="1"/>
      <w:numFmt w:val="lowerLetter"/>
      <w:lvlText w:val="%5"/>
      <w:lvlJc w:val="left"/>
      <w:pPr>
        <w:ind w:left="48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24AF206">
      <w:start w:val="1"/>
      <w:numFmt w:val="lowerRoman"/>
      <w:lvlText w:val="%6"/>
      <w:lvlJc w:val="left"/>
      <w:pPr>
        <w:ind w:left="55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E1AEC8C">
      <w:start w:val="1"/>
      <w:numFmt w:val="decimal"/>
      <w:lvlText w:val="%7"/>
      <w:lvlJc w:val="left"/>
      <w:pPr>
        <w:ind w:left="62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1E8CFCA">
      <w:start w:val="1"/>
      <w:numFmt w:val="lowerLetter"/>
      <w:lvlText w:val="%8"/>
      <w:lvlJc w:val="left"/>
      <w:pPr>
        <w:ind w:left="69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908643A">
      <w:start w:val="1"/>
      <w:numFmt w:val="lowerRoman"/>
      <w:lvlText w:val="%9"/>
      <w:lvlJc w:val="left"/>
      <w:pPr>
        <w:ind w:left="76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985BC6"/>
    <w:multiLevelType w:val="hybridMultilevel"/>
    <w:tmpl w:val="F49EFD66"/>
    <w:lvl w:ilvl="0" w:tplc="CE1E03C2">
      <w:start w:val="1"/>
      <w:numFmt w:val="decimal"/>
      <w:lvlText w:val="(%1)"/>
      <w:lvlJc w:val="left"/>
      <w:pPr>
        <w:ind w:left="22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3E07968">
      <w:start w:val="1"/>
      <w:numFmt w:val="lowerLetter"/>
      <w:lvlText w:val="%2"/>
      <w:lvlJc w:val="left"/>
      <w:pPr>
        <w:ind w:left="27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CCC6EEC">
      <w:start w:val="1"/>
      <w:numFmt w:val="lowerRoman"/>
      <w:lvlText w:val="%3"/>
      <w:lvlJc w:val="left"/>
      <w:pPr>
        <w:ind w:left="35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E6E33B0">
      <w:start w:val="1"/>
      <w:numFmt w:val="decimal"/>
      <w:lvlText w:val="%4"/>
      <w:lvlJc w:val="left"/>
      <w:pPr>
        <w:ind w:left="42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E22EECC">
      <w:start w:val="1"/>
      <w:numFmt w:val="lowerLetter"/>
      <w:lvlText w:val="%5"/>
      <w:lvlJc w:val="left"/>
      <w:pPr>
        <w:ind w:left="495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DC041FA">
      <w:start w:val="1"/>
      <w:numFmt w:val="lowerRoman"/>
      <w:lvlText w:val="%6"/>
      <w:lvlJc w:val="left"/>
      <w:pPr>
        <w:ind w:left="567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9BA4AB8">
      <w:start w:val="1"/>
      <w:numFmt w:val="decimal"/>
      <w:lvlText w:val="%7"/>
      <w:lvlJc w:val="left"/>
      <w:pPr>
        <w:ind w:left="63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10FD94">
      <w:start w:val="1"/>
      <w:numFmt w:val="lowerLetter"/>
      <w:lvlText w:val="%8"/>
      <w:lvlJc w:val="left"/>
      <w:pPr>
        <w:ind w:left="71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0A8169A">
      <w:start w:val="1"/>
      <w:numFmt w:val="lowerRoman"/>
      <w:lvlText w:val="%9"/>
      <w:lvlJc w:val="left"/>
      <w:pPr>
        <w:ind w:left="78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014979"/>
    <w:multiLevelType w:val="hybridMultilevel"/>
    <w:tmpl w:val="D4266650"/>
    <w:lvl w:ilvl="0" w:tplc="6D4C60C6">
      <w:start w:val="1"/>
      <w:numFmt w:val="lowerLetter"/>
      <w:lvlText w:val="(%1)"/>
      <w:lvlJc w:val="left"/>
      <w:pPr>
        <w:ind w:left="2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2F2E2F4">
      <w:start w:val="1"/>
      <w:numFmt w:val="lowerLetter"/>
      <w:lvlText w:val="%2"/>
      <w:lvlJc w:val="left"/>
      <w:pPr>
        <w:ind w:left="33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B107CD4">
      <w:start w:val="1"/>
      <w:numFmt w:val="lowerRoman"/>
      <w:lvlText w:val="%3"/>
      <w:lvlJc w:val="left"/>
      <w:pPr>
        <w:ind w:left="40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600A472">
      <w:start w:val="1"/>
      <w:numFmt w:val="decimal"/>
      <w:lvlText w:val="%4"/>
      <w:lvlJc w:val="left"/>
      <w:pPr>
        <w:ind w:left="48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14A8FB6">
      <w:start w:val="1"/>
      <w:numFmt w:val="lowerLetter"/>
      <w:lvlText w:val="%5"/>
      <w:lvlJc w:val="left"/>
      <w:pPr>
        <w:ind w:left="55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03C3100">
      <w:start w:val="1"/>
      <w:numFmt w:val="lowerRoman"/>
      <w:lvlText w:val="%6"/>
      <w:lvlJc w:val="left"/>
      <w:pPr>
        <w:ind w:left="62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620AF70">
      <w:start w:val="1"/>
      <w:numFmt w:val="decimal"/>
      <w:lvlText w:val="%7"/>
      <w:lvlJc w:val="left"/>
      <w:pPr>
        <w:ind w:left="69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A9E8624">
      <w:start w:val="1"/>
      <w:numFmt w:val="lowerLetter"/>
      <w:lvlText w:val="%8"/>
      <w:lvlJc w:val="left"/>
      <w:pPr>
        <w:ind w:left="76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DBE2FDE">
      <w:start w:val="1"/>
      <w:numFmt w:val="lowerRoman"/>
      <w:lvlText w:val="%9"/>
      <w:lvlJc w:val="left"/>
      <w:pPr>
        <w:ind w:left="84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D8775A"/>
    <w:multiLevelType w:val="hybridMultilevel"/>
    <w:tmpl w:val="15C8E47E"/>
    <w:lvl w:ilvl="0" w:tplc="F4589E94">
      <w:start w:val="1"/>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AE5A23"/>
    <w:multiLevelType w:val="hybridMultilevel"/>
    <w:tmpl w:val="78340574"/>
    <w:lvl w:ilvl="0" w:tplc="EADEDB1C">
      <w:start w:val="37"/>
      <w:numFmt w:val="decimal"/>
      <w:lvlText w:val="%1."/>
      <w:lvlJc w:val="left"/>
      <w:pPr>
        <w:ind w:left="0" w:firstLine="0"/>
      </w:pPr>
      <w:rPr>
        <w:rFonts w:ascii="Arial" w:eastAsia="Arial" w:hAnsi="Arial" w:cs="Arial"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271" w:hanging="360"/>
      </w:pPr>
    </w:lvl>
    <w:lvl w:ilvl="2" w:tplc="0C09001B" w:tentative="1">
      <w:start w:val="1"/>
      <w:numFmt w:val="lowerRoman"/>
      <w:lvlText w:val="%3."/>
      <w:lvlJc w:val="right"/>
      <w:pPr>
        <w:ind w:left="449" w:hanging="180"/>
      </w:pPr>
    </w:lvl>
    <w:lvl w:ilvl="3" w:tplc="0C09000F" w:tentative="1">
      <w:start w:val="1"/>
      <w:numFmt w:val="decimal"/>
      <w:lvlText w:val="%4."/>
      <w:lvlJc w:val="left"/>
      <w:pPr>
        <w:ind w:left="1169" w:hanging="360"/>
      </w:pPr>
    </w:lvl>
    <w:lvl w:ilvl="4" w:tplc="0C090019" w:tentative="1">
      <w:start w:val="1"/>
      <w:numFmt w:val="lowerLetter"/>
      <w:lvlText w:val="%5."/>
      <w:lvlJc w:val="left"/>
      <w:pPr>
        <w:ind w:left="1889" w:hanging="360"/>
      </w:pPr>
    </w:lvl>
    <w:lvl w:ilvl="5" w:tplc="0C09001B" w:tentative="1">
      <w:start w:val="1"/>
      <w:numFmt w:val="lowerRoman"/>
      <w:lvlText w:val="%6."/>
      <w:lvlJc w:val="right"/>
      <w:pPr>
        <w:ind w:left="2609" w:hanging="180"/>
      </w:pPr>
    </w:lvl>
    <w:lvl w:ilvl="6" w:tplc="0C09000F" w:tentative="1">
      <w:start w:val="1"/>
      <w:numFmt w:val="decimal"/>
      <w:lvlText w:val="%7."/>
      <w:lvlJc w:val="left"/>
      <w:pPr>
        <w:ind w:left="3329" w:hanging="360"/>
      </w:pPr>
    </w:lvl>
    <w:lvl w:ilvl="7" w:tplc="0C090019" w:tentative="1">
      <w:start w:val="1"/>
      <w:numFmt w:val="lowerLetter"/>
      <w:lvlText w:val="%8."/>
      <w:lvlJc w:val="left"/>
      <w:pPr>
        <w:ind w:left="4049" w:hanging="360"/>
      </w:pPr>
    </w:lvl>
    <w:lvl w:ilvl="8" w:tplc="0C09001B" w:tentative="1">
      <w:start w:val="1"/>
      <w:numFmt w:val="lowerRoman"/>
      <w:lvlText w:val="%9."/>
      <w:lvlJc w:val="right"/>
      <w:pPr>
        <w:ind w:left="4769" w:hanging="180"/>
      </w:pPr>
    </w:lvl>
  </w:abstractNum>
  <w:num w:numId="1" w16cid:durableId="414522392">
    <w:abstractNumId w:val="5"/>
  </w:num>
  <w:num w:numId="2" w16cid:durableId="37631854">
    <w:abstractNumId w:val="20"/>
  </w:num>
  <w:num w:numId="3" w16cid:durableId="894851019">
    <w:abstractNumId w:val="1"/>
  </w:num>
  <w:num w:numId="4" w16cid:durableId="1130241356">
    <w:abstractNumId w:val="8"/>
  </w:num>
  <w:num w:numId="5" w16cid:durableId="1826163529">
    <w:abstractNumId w:val="21"/>
  </w:num>
  <w:num w:numId="6" w16cid:durableId="1825127328">
    <w:abstractNumId w:val="7"/>
  </w:num>
  <w:num w:numId="7" w16cid:durableId="1478765651">
    <w:abstractNumId w:val="11"/>
  </w:num>
  <w:num w:numId="8" w16cid:durableId="393158749">
    <w:abstractNumId w:val="18"/>
  </w:num>
  <w:num w:numId="9" w16cid:durableId="691299911">
    <w:abstractNumId w:val="19"/>
  </w:num>
  <w:num w:numId="10" w16cid:durableId="1956862116">
    <w:abstractNumId w:val="17"/>
  </w:num>
  <w:num w:numId="11" w16cid:durableId="592931941">
    <w:abstractNumId w:val="13"/>
  </w:num>
  <w:num w:numId="12" w16cid:durableId="316880631">
    <w:abstractNumId w:val="22"/>
  </w:num>
  <w:num w:numId="13" w16cid:durableId="657608888">
    <w:abstractNumId w:val="15"/>
  </w:num>
  <w:num w:numId="14" w16cid:durableId="1570730508">
    <w:abstractNumId w:val="3"/>
  </w:num>
  <w:num w:numId="15" w16cid:durableId="456141447">
    <w:abstractNumId w:val="16"/>
  </w:num>
  <w:num w:numId="16" w16cid:durableId="318726864">
    <w:abstractNumId w:val="2"/>
  </w:num>
  <w:num w:numId="17" w16cid:durableId="374428300">
    <w:abstractNumId w:val="9"/>
  </w:num>
  <w:num w:numId="18" w16cid:durableId="1701276316">
    <w:abstractNumId w:val="4"/>
  </w:num>
  <w:num w:numId="19" w16cid:durableId="508448766">
    <w:abstractNumId w:val="14"/>
  </w:num>
  <w:num w:numId="20" w16cid:durableId="110560886">
    <w:abstractNumId w:val="6"/>
  </w:num>
  <w:num w:numId="21" w16cid:durableId="428818325">
    <w:abstractNumId w:val="0"/>
  </w:num>
  <w:num w:numId="22" w16cid:durableId="661008042">
    <w:abstractNumId w:val="23"/>
  </w:num>
  <w:num w:numId="23" w16cid:durableId="500856404">
    <w:abstractNumId w:val="12"/>
  </w:num>
  <w:num w:numId="24" w16cid:durableId="1594508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B5"/>
    <w:rsid w:val="00016FF2"/>
    <w:rsid w:val="00030B79"/>
    <w:rsid w:val="00033A17"/>
    <w:rsid w:val="00037352"/>
    <w:rsid w:val="00040472"/>
    <w:rsid w:val="0004454F"/>
    <w:rsid w:val="0005112A"/>
    <w:rsid w:val="00063D57"/>
    <w:rsid w:val="0007046D"/>
    <w:rsid w:val="00080904"/>
    <w:rsid w:val="000A051B"/>
    <w:rsid w:val="000A0A90"/>
    <w:rsid w:val="000A63D5"/>
    <w:rsid w:val="000C26CE"/>
    <w:rsid w:val="000E2274"/>
    <w:rsid w:val="000F20D8"/>
    <w:rsid w:val="001022FE"/>
    <w:rsid w:val="00114F6A"/>
    <w:rsid w:val="001159E2"/>
    <w:rsid w:val="0011627D"/>
    <w:rsid w:val="0012181A"/>
    <w:rsid w:val="0013603B"/>
    <w:rsid w:val="00141704"/>
    <w:rsid w:val="001502BD"/>
    <w:rsid w:val="001708D4"/>
    <w:rsid w:val="00176454"/>
    <w:rsid w:val="00177648"/>
    <w:rsid w:val="00184B43"/>
    <w:rsid w:val="00191CEC"/>
    <w:rsid w:val="00194E63"/>
    <w:rsid w:val="0019522C"/>
    <w:rsid w:val="001A43B2"/>
    <w:rsid w:val="001B54C5"/>
    <w:rsid w:val="001C06EA"/>
    <w:rsid w:val="00201445"/>
    <w:rsid w:val="0022314F"/>
    <w:rsid w:val="00236ADA"/>
    <w:rsid w:val="00252411"/>
    <w:rsid w:val="00260859"/>
    <w:rsid w:val="00272424"/>
    <w:rsid w:val="00277CD0"/>
    <w:rsid w:val="00281633"/>
    <w:rsid w:val="00293C3F"/>
    <w:rsid w:val="002A4160"/>
    <w:rsid w:val="002C092F"/>
    <w:rsid w:val="002E0D3E"/>
    <w:rsid w:val="002F0F43"/>
    <w:rsid w:val="00312879"/>
    <w:rsid w:val="003448A1"/>
    <w:rsid w:val="00346D71"/>
    <w:rsid w:val="0034721D"/>
    <w:rsid w:val="00380ABD"/>
    <w:rsid w:val="003B0960"/>
    <w:rsid w:val="003B4825"/>
    <w:rsid w:val="003B639E"/>
    <w:rsid w:val="003E0B73"/>
    <w:rsid w:val="003E7365"/>
    <w:rsid w:val="003F2F7D"/>
    <w:rsid w:val="003F5AEE"/>
    <w:rsid w:val="003F782F"/>
    <w:rsid w:val="00431484"/>
    <w:rsid w:val="004420F4"/>
    <w:rsid w:val="00450260"/>
    <w:rsid w:val="004566B2"/>
    <w:rsid w:val="00460F36"/>
    <w:rsid w:val="0048186B"/>
    <w:rsid w:val="004A276C"/>
    <w:rsid w:val="004A4375"/>
    <w:rsid w:val="004B24D1"/>
    <w:rsid w:val="004B4FC5"/>
    <w:rsid w:val="004D27D0"/>
    <w:rsid w:val="004E4847"/>
    <w:rsid w:val="004F64B1"/>
    <w:rsid w:val="00507415"/>
    <w:rsid w:val="00514380"/>
    <w:rsid w:val="00526580"/>
    <w:rsid w:val="005356B2"/>
    <w:rsid w:val="00573C3F"/>
    <w:rsid w:val="005761B8"/>
    <w:rsid w:val="005A7CA0"/>
    <w:rsid w:val="005B24F5"/>
    <w:rsid w:val="005C3FC0"/>
    <w:rsid w:val="005C41C1"/>
    <w:rsid w:val="005E3B0B"/>
    <w:rsid w:val="005F46EF"/>
    <w:rsid w:val="00615E7E"/>
    <w:rsid w:val="006237D9"/>
    <w:rsid w:val="006251C8"/>
    <w:rsid w:val="00625DED"/>
    <w:rsid w:val="00626112"/>
    <w:rsid w:val="00626CC6"/>
    <w:rsid w:val="0063564B"/>
    <w:rsid w:val="00642138"/>
    <w:rsid w:val="00643EDA"/>
    <w:rsid w:val="006534B9"/>
    <w:rsid w:val="00653EC9"/>
    <w:rsid w:val="0067185C"/>
    <w:rsid w:val="00671924"/>
    <w:rsid w:val="006774FA"/>
    <w:rsid w:val="0068174B"/>
    <w:rsid w:val="00690B94"/>
    <w:rsid w:val="00696E74"/>
    <w:rsid w:val="006A22AA"/>
    <w:rsid w:val="006B2E59"/>
    <w:rsid w:val="006B7A53"/>
    <w:rsid w:val="0071337D"/>
    <w:rsid w:val="0071649C"/>
    <w:rsid w:val="007177E1"/>
    <w:rsid w:val="007362B3"/>
    <w:rsid w:val="00784D45"/>
    <w:rsid w:val="0079586B"/>
    <w:rsid w:val="007A0A9D"/>
    <w:rsid w:val="007A5B66"/>
    <w:rsid w:val="007B3183"/>
    <w:rsid w:val="007B7523"/>
    <w:rsid w:val="007C18C7"/>
    <w:rsid w:val="007D4FE6"/>
    <w:rsid w:val="007D5AC9"/>
    <w:rsid w:val="007E111A"/>
    <w:rsid w:val="00802837"/>
    <w:rsid w:val="008037FB"/>
    <w:rsid w:val="0080656D"/>
    <w:rsid w:val="00807ED9"/>
    <w:rsid w:val="00810206"/>
    <w:rsid w:val="00837D7C"/>
    <w:rsid w:val="008423AF"/>
    <w:rsid w:val="00847D80"/>
    <w:rsid w:val="00850209"/>
    <w:rsid w:val="008569C1"/>
    <w:rsid w:val="008577DD"/>
    <w:rsid w:val="00857A80"/>
    <w:rsid w:val="00867983"/>
    <w:rsid w:val="00885CED"/>
    <w:rsid w:val="008A565A"/>
    <w:rsid w:val="008D149F"/>
    <w:rsid w:val="008D4A08"/>
    <w:rsid w:val="009018A6"/>
    <w:rsid w:val="0090655F"/>
    <w:rsid w:val="009124DC"/>
    <w:rsid w:val="009547DD"/>
    <w:rsid w:val="0096523D"/>
    <w:rsid w:val="0097328A"/>
    <w:rsid w:val="00975FFE"/>
    <w:rsid w:val="009769B6"/>
    <w:rsid w:val="00983861"/>
    <w:rsid w:val="009935C8"/>
    <w:rsid w:val="00993ACE"/>
    <w:rsid w:val="009949B1"/>
    <w:rsid w:val="009A00D3"/>
    <w:rsid w:val="009A743C"/>
    <w:rsid w:val="009D1D3D"/>
    <w:rsid w:val="009F5A35"/>
    <w:rsid w:val="00A007AD"/>
    <w:rsid w:val="00A039B9"/>
    <w:rsid w:val="00A03A03"/>
    <w:rsid w:val="00A234E2"/>
    <w:rsid w:val="00A3202B"/>
    <w:rsid w:val="00A476AB"/>
    <w:rsid w:val="00A6596C"/>
    <w:rsid w:val="00A6600E"/>
    <w:rsid w:val="00A71A4F"/>
    <w:rsid w:val="00AA233C"/>
    <w:rsid w:val="00AB2BD2"/>
    <w:rsid w:val="00AC4C73"/>
    <w:rsid w:val="00AD506C"/>
    <w:rsid w:val="00AF1FA9"/>
    <w:rsid w:val="00B139A3"/>
    <w:rsid w:val="00B15464"/>
    <w:rsid w:val="00B20F50"/>
    <w:rsid w:val="00B26DE2"/>
    <w:rsid w:val="00B32997"/>
    <w:rsid w:val="00B3347C"/>
    <w:rsid w:val="00B64260"/>
    <w:rsid w:val="00B65958"/>
    <w:rsid w:val="00B76A3A"/>
    <w:rsid w:val="00B922E1"/>
    <w:rsid w:val="00BB57CD"/>
    <w:rsid w:val="00BD0069"/>
    <w:rsid w:val="00BD74E6"/>
    <w:rsid w:val="00BF3A0A"/>
    <w:rsid w:val="00C2727A"/>
    <w:rsid w:val="00C34DB5"/>
    <w:rsid w:val="00C428E6"/>
    <w:rsid w:val="00C430EA"/>
    <w:rsid w:val="00C46188"/>
    <w:rsid w:val="00C502BA"/>
    <w:rsid w:val="00C65916"/>
    <w:rsid w:val="00C75BDC"/>
    <w:rsid w:val="00C81485"/>
    <w:rsid w:val="00CA4F75"/>
    <w:rsid w:val="00CA6C13"/>
    <w:rsid w:val="00CB24B0"/>
    <w:rsid w:val="00CC2368"/>
    <w:rsid w:val="00CC2B29"/>
    <w:rsid w:val="00CD685D"/>
    <w:rsid w:val="00CE0200"/>
    <w:rsid w:val="00CE2A43"/>
    <w:rsid w:val="00CE7921"/>
    <w:rsid w:val="00CF17BC"/>
    <w:rsid w:val="00CF7124"/>
    <w:rsid w:val="00D04E99"/>
    <w:rsid w:val="00D06260"/>
    <w:rsid w:val="00D13221"/>
    <w:rsid w:val="00D347F0"/>
    <w:rsid w:val="00D42EA5"/>
    <w:rsid w:val="00D4660C"/>
    <w:rsid w:val="00D53660"/>
    <w:rsid w:val="00D674DF"/>
    <w:rsid w:val="00DA0BC4"/>
    <w:rsid w:val="00DA0C8D"/>
    <w:rsid w:val="00DA3158"/>
    <w:rsid w:val="00DB21E6"/>
    <w:rsid w:val="00DB77AA"/>
    <w:rsid w:val="00DC3CCA"/>
    <w:rsid w:val="00DD16F2"/>
    <w:rsid w:val="00DE0098"/>
    <w:rsid w:val="00DE77E1"/>
    <w:rsid w:val="00DF04F5"/>
    <w:rsid w:val="00DF62F7"/>
    <w:rsid w:val="00E02000"/>
    <w:rsid w:val="00E179C8"/>
    <w:rsid w:val="00E23235"/>
    <w:rsid w:val="00E24D8B"/>
    <w:rsid w:val="00E335A9"/>
    <w:rsid w:val="00E374FF"/>
    <w:rsid w:val="00E43A42"/>
    <w:rsid w:val="00E515EA"/>
    <w:rsid w:val="00E6650B"/>
    <w:rsid w:val="00E9029E"/>
    <w:rsid w:val="00E926B9"/>
    <w:rsid w:val="00EA49C8"/>
    <w:rsid w:val="00EC07B9"/>
    <w:rsid w:val="00EC124D"/>
    <w:rsid w:val="00EC4BBC"/>
    <w:rsid w:val="00EF63F0"/>
    <w:rsid w:val="00F044B4"/>
    <w:rsid w:val="00F05EDD"/>
    <w:rsid w:val="00F12351"/>
    <w:rsid w:val="00F159B9"/>
    <w:rsid w:val="00F21F31"/>
    <w:rsid w:val="00F47AE5"/>
    <w:rsid w:val="00F5489D"/>
    <w:rsid w:val="00F560AA"/>
    <w:rsid w:val="00F5697F"/>
    <w:rsid w:val="00F57925"/>
    <w:rsid w:val="00F63DD2"/>
    <w:rsid w:val="00F70472"/>
    <w:rsid w:val="00F7735C"/>
    <w:rsid w:val="00F91550"/>
    <w:rsid w:val="00F91CB3"/>
    <w:rsid w:val="00F9376C"/>
    <w:rsid w:val="00F977C9"/>
    <w:rsid w:val="00FA409B"/>
    <w:rsid w:val="00FA7C78"/>
    <w:rsid w:val="00FB074A"/>
    <w:rsid w:val="00FB3303"/>
    <w:rsid w:val="00FC0330"/>
    <w:rsid w:val="00FD191B"/>
    <w:rsid w:val="00FD3ECA"/>
    <w:rsid w:val="00FF49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61862"/>
  <w15:chartTrackingRefBased/>
  <w15:docId w15:val="{F299CA07-6F6C-4C3D-B015-D58654AC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34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34D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D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D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34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34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DB5"/>
    <w:rPr>
      <w:rFonts w:eastAsiaTheme="majorEastAsia" w:cstheme="majorBidi"/>
      <w:color w:val="272727" w:themeColor="text1" w:themeTint="D8"/>
    </w:rPr>
  </w:style>
  <w:style w:type="paragraph" w:styleId="Title">
    <w:name w:val="Title"/>
    <w:basedOn w:val="Normal"/>
    <w:next w:val="Normal"/>
    <w:link w:val="TitleChar"/>
    <w:uiPriority w:val="10"/>
    <w:qFormat/>
    <w:rsid w:val="00C34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D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DB5"/>
    <w:pPr>
      <w:spacing w:before="160"/>
      <w:jc w:val="center"/>
    </w:pPr>
    <w:rPr>
      <w:i/>
      <w:iCs/>
      <w:color w:val="404040" w:themeColor="text1" w:themeTint="BF"/>
    </w:rPr>
  </w:style>
  <w:style w:type="character" w:customStyle="1" w:styleId="QuoteChar">
    <w:name w:val="Quote Char"/>
    <w:basedOn w:val="DefaultParagraphFont"/>
    <w:link w:val="Quote"/>
    <w:uiPriority w:val="29"/>
    <w:rsid w:val="00C34DB5"/>
    <w:rPr>
      <w:i/>
      <w:iCs/>
      <w:color w:val="404040" w:themeColor="text1" w:themeTint="BF"/>
    </w:rPr>
  </w:style>
  <w:style w:type="paragraph" w:styleId="ListParagraph">
    <w:name w:val="List Paragraph"/>
    <w:basedOn w:val="Normal"/>
    <w:uiPriority w:val="34"/>
    <w:qFormat/>
    <w:rsid w:val="00C34DB5"/>
    <w:pPr>
      <w:ind w:left="720"/>
      <w:contextualSpacing/>
    </w:pPr>
  </w:style>
  <w:style w:type="character" w:styleId="IntenseEmphasis">
    <w:name w:val="Intense Emphasis"/>
    <w:basedOn w:val="DefaultParagraphFont"/>
    <w:uiPriority w:val="21"/>
    <w:qFormat/>
    <w:rsid w:val="00C34DB5"/>
    <w:rPr>
      <w:i/>
      <w:iCs/>
      <w:color w:val="0F4761" w:themeColor="accent1" w:themeShade="BF"/>
    </w:rPr>
  </w:style>
  <w:style w:type="paragraph" w:styleId="IntenseQuote">
    <w:name w:val="Intense Quote"/>
    <w:basedOn w:val="Normal"/>
    <w:next w:val="Normal"/>
    <w:link w:val="IntenseQuoteChar"/>
    <w:uiPriority w:val="30"/>
    <w:qFormat/>
    <w:rsid w:val="00C34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DB5"/>
    <w:rPr>
      <w:i/>
      <w:iCs/>
      <w:color w:val="0F4761" w:themeColor="accent1" w:themeShade="BF"/>
    </w:rPr>
  </w:style>
  <w:style w:type="character" w:styleId="IntenseReference">
    <w:name w:val="Intense Reference"/>
    <w:basedOn w:val="DefaultParagraphFont"/>
    <w:uiPriority w:val="32"/>
    <w:qFormat/>
    <w:rsid w:val="00C34DB5"/>
    <w:rPr>
      <w:b/>
      <w:bCs/>
      <w:smallCaps/>
      <w:color w:val="0F4761" w:themeColor="accent1" w:themeShade="BF"/>
      <w:spacing w:val="5"/>
    </w:rPr>
  </w:style>
  <w:style w:type="paragraph" w:styleId="FootnoteText">
    <w:name w:val="footnote text"/>
    <w:basedOn w:val="Normal"/>
    <w:link w:val="FootnoteTextChar"/>
    <w:uiPriority w:val="99"/>
    <w:semiHidden/>
    <w:unhideWhenUsed/>
    <w:rsid w:val="00460F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F36"/>
    <w:rPr>
      <w:sz w:val="20"/>
      <w:szCs w:val="20"/>
    </w:rPr>
  </w:style>
  <w:style w:type="character" w:styleId="FootnoteReference">
    <w:name w:val="footnote reference"/>
    <w:basedOn w:val="DefaultParagraphFont"/>
    <w:uiPriority w:val="99"/>
    <w:semiHidden/>
    <w:unhideWhenUsed/>
    <w:rsid w:val="00460F36"/>
    <w:rPr>
      <w:vertAlign w:val="superscript"/>
    </w:rPr>
  </w:style>
  <w:style w:type="character" w:styleId="Hyperlink">
    <w:name w:val="Hyperlink"/>
    <w:basedOn w:val="DefaultParagraphFont"/>
    <w:uiPriority w:val="99"/>
    <w:unhideWhenUsed/>
    <w:rsid w:val="00CE7921"/>
    <w:rPr>
      <w:color w:val="467886" w:themeColor="hyperlink"/>
      <w:u w:val="single"/>
    </w:rPr>
  </w:style>
  <w:style w:type="character" w:styleId="UnresolvedMention">
    <w:name w:val="Unresolved Mention"/>
    <w:basedOn w:val="DefaultParagraphFont"/>
    <w:uiPriority w:val="99"/>
    <w:semiHidden/>
    <w:unhideWhenUsed/>
    <w:rsid w:val="00CE7921"/>
    <w:rPr>
      <w:color w:val="605E5C"/>
      <w:shd w:val="clear" w:color="auto" w:fill="E1DFDD"/>
    </w:rPr>
  </w:style>
  <w:style w:type="paragraph" w:styleId="Header">
    <w:name w:val="header"/>
    <w:basedOn w:val="Normal"/>
    <w:link w:val="HeaderChar"/>
    <w:uiPriority w:val="99"/>
    <w:unhideWhenUsed/>
    <w:rsid w:val="00E24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D8B"/>
  </w:style>
  <w:style w:type="paragraph" w:styleId="Footer">
    <w:name w:val="footer"/>
    <w:basedOn w:val="Normal"/>
    <w:link w:val="FooterChar"/>
    <w:uiPriority w:val="99"/>
    <w:unhideWhenUsed/>
    <w:rsid w:val="00E24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D8B"/>
  </w:style>
  <w:style w:type="character" w:customStyle="1" w:styleId="apple-converted-space">
    <w:name w:val="apple-converted-space"/>
    <w:basedOn w:val="DefaultParagraphFont"/>
    <w:rsid w:val="00A71A4F"/>
  </w:style>
  <w:style w:type="character" w:styleId="Emphasis">
    <w:name w:val="Emphasis"/>
    <w:basedOn w:val="DefaultParagraphFont"/>
    <w:uiPriority w:val="20"/>
    <w:qFormat/>
    <w:rsid w:val="00A71A4F"/>
    <w:rPr>
      <w:i/>
      <w:iCs/>
    </w:rPr>
  </w:style>
  <w:style w:type="paragraph" w:styleId="NormalWeb">
    <w:name w:val="Normal (Web)"/>
    <w:basedOn w:val="Normal"/>
    <w:uiPriority w:val="99"/>
    <w:unhideWhenUsed/>
    <w:rsid w:val="00CF71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6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selaw.nsw.gov.au/decision/18a012c47f4ab3ecf1611a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B8D25-92CB-4BE5-9862-A1EE570A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8085</Words>
  <Characters>32343</Characters>
  <Application>Microsoft Office Word</Application>
  <DocSecurity>0</DocSecurity>
  <Lines>1406</Lines>
  <Paragraphs>940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Calokerinos</dc:creator>
  <cp:keywords/>
  <dc:description/>
  <cp:lastModifiedBy>William Calokerinos</cp:lastModifiedBy>
  <cp:revision>4</cp:revision>
  <cp:lastPrinted>2024-12-02T00:28:00Z</cp:lastPrinted>
  <dcterms:created xsi:type="dcterms:W3CDTF">2024-12-02T00:27:00Z</dcterms:created>
  <dcterms:modified xsi:type="dcterms:W3CDTF">2024-12-02T00:28:00Z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c109cb23c3b505e9f620915982bba4bee6c9bd25a7f3be4e8b0c0e9f04453cf6</vt:lpwstr>
  </property>
</Properties>
</file>